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F573" w14:textId="77777777" w:rsidR="00F00C05" w:rsidRDefault="00C569FC" w:rsidP="009E53CD">
      <w:pPr>
        <w:rPr>
          <w:rFonts w:ascii="Arial" w:hAnsi="Arial" w:cs="Arial"/>
          <w:b/>
          <w:bCs/>
          <w:caps/>
          <w:sz w:val="32"/>
          <w:szCs w:val="32"/>
          <w:lang w:val="de-CH" w:eastAsia="de-DE"/>
        </w:rPr>
      </w:pPr>
      <w:r w:rsidRPr="00C569FC">
        <w:rPr>
          <w:rFonts w:ascii="Arial" w:hAnsi="Arial" w:cs="Arial"/>
          <w:b/>
          <w:bCs/>
          <w:caps/>
          <w:sz w:val="32"/>
          <w:szCs w:val="32"/>
          <w:lang w:val="de-CH" w:eastAsia="de-DE"/>
        </w:rPr>
        <w:t>Critères de risque</w:t>
      </w:r>
    </w:p>
    <w:p w14:paraId="08CFEE3C" w14:textId="77777777" w:rsidR="00C569FC" w:rsidRPr="00EB7257" w:rsidRDefault="00C569FC" w:rsidP="009E53CD">
      <w:pPr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14:paraId="2BF322C7" w14:textId="2C79C1F3" w:rsidR="00725E8E" w:rsidRPr="00FD53CF" w:rsidRDefault="00FD53CF" w:rsidP="00C569FC">
      <w:pPr>
        <w:pStyle w:val="Kopfzeile"/>
        <w:numPr>
          <w:ilvl w:val="0"/>
          <w:numId w:val="21"/>
        </w:numPr>
        <w:tabs>
          <w:tab w:val="clear" w:pos="4536"/>
          <w:tab w:val="clear" w:pos="9072"/>
        </w:tabs>
        <w:ind w:hanging="654"/>
        <w:rPr>
          <w:rFonts w:ascii="Arial" w:hAnsi="Arial"/>
          <w:b/>
          <w:smallCaps/>
          <w:kern w:val="28"/>
          <w:sz w:val="28"/>
          <w:lang w:val="fr-CH"/>
        </w:rPr>
      </w:pPr>
      <w:r w:rsidRPr="00FD53CF">
        <w:rPr>
          <w:rFonts w:ascii="Arial" w:hAnsi="Arial"/>
          <w:b/>
          <w:smallCaps/>
          <w:kern w:val="28"/>
          <w:sz w:val="28"/>
          <w:lang w:val="fr-CH"/>
        </w:rPr>
        <w:t>Relations</w:t>
      </w:r>
      <w:r w:rsidR="00C569FC" w:rsidRPr="00FD53CF">
        <w:rPr>
          <w:rFonts w:ascii="Arial" w:hAnsi="Arial"/>
          <w:b/>
          <w:smallCaps/>
          <w:kern w:val="28"/>
          <w:sz w:val="28"/>
          <w:lang w:val="fr-CH"/>
        </w:rPr>
        <w:t xml:space="preserve"> </w:t>
      </w:r>
      <w:r w:rsidRPr="00FD53CF">
        <w:rPr>
          <w:rFonts w:ascii="Arial" w:hAnsi="Arial"/>
          <w:b/>
          <w:smallCaps/>
          <w:kern w:val="28"/>
          <w:sz w:val="28"/>
          <w:lang w:val="fr-CH"/>
        </w:rPr>
        <w:t>d</w:t>
      </w:r>
      <w:r w:rsidR="00C569FC" w:rsidRPr="00FD53CF">
        <w:rPr>
          <w:rFonts w:ascii="Arial" w:hAnsi="Arial"/>
          <w:b/>
          <w:smallCaps/>
          <w:kern w:val="28"/>
          <w:sz w:val="28"/>
          <w:lang w:val="fr-CH"/>
        </w:rPr>
        <w:t>'</w:t>
      </w:r>
      <w:r w:rsidRPr="00FD53CF">
        <w:rPr>
          <w:rFonts w:ascii="Arial" w:hAnsi="Arial"/>
          <w:b/>
          <w:smallCaps/>
          <w:kern w:val="28"/>
          <w:sz w:val="28"/>
          <w:lang w:val="fr-CH"/>
        </w:rPr>
        <w:t>affaires</w:t>
      </w:r>
      <w:r w:rsidR="00C569FC" w:rsidRPr="00FD53CF">
        <w:rPr>
          <w:rFonts w:ascii="Arial" w:hAnsi="Arial"/>
          <w:b/>
          <w:smallCaps/>
          <w:kern w:val="28"/>
          <w:sz w:val="28"/>
          <w:lang w:val="fr-CH"/>
        </w:rPr>
        <w:t xml:space="preserve"> </w:t>
      </w:r>
      <w:r w:rsidR="00B778A8">
        <w:rPr>
          <w:rFonts w:ascii="Arial" w:hAnsi="Arial"/>
          <w:b/>
          <w:smallCaps/>
          <w:kern w:val="28"/>
          <w:sz w:val="28"/>
          <w:lang w:val="fr-CH"/>
        </w:rPr>
        <w:t>comportant des</w:t>
      </w:r>
      <w:r w:rsidR="00846112">
        <w:rPr>
          <w:rFonts w:ascii="Arial" w:hAnsi="Arial"/>
          <w:b/>
          <w:smallCaps/>
          <w:kern w:val="28"/>
          <w:sz w:val="28"/>
          <w:lang w:val="fr-CH"/>
        </w:rPr>
        <w:t xml:space="preserve"> </w:t>
      </w:r>
      <w:r>
        <w:rPr>
          <w:rFonts w:ascii="Arial" w:hAnsi="Arial"/>
          <w:b/>
          <w:smallCaps/>
          <w:kern w:val="28"/>
          <w:sz w:val="28"/>
          <w:lang w:val="fr-CH"/>
        </w:rPr>
        <w:t>r</w:t>
      </w:r>
      <w:r w:rsidRPr="00FD53CF">
        <w:rPr>
          <w:rFonts w:ascii="Arial" w:hAnsi="Arial"/>
          <w:b/>
          <w:smallCaps/>
          <w:kern w:val="28"/>
          <w:sz w:val="28"/>
          <w:lang w:val="fr-CH"/>
        </w:rPr>
        <w:t>isque</w:t>
      </w:r>
      <w:r w:rsidR="00B778A8">
        <w:rPr>
          <w:rFonts w:ascii="Arial" w:hAnsi="Arial"/>
          <w:b/>
          <w:smallCaps/>
          <w:kern w:val="28"/>
          <w:sz w:val="28"/>
          <w:lang w:val="fr-CH"/>
        </w:rPr>
        <w:t>s</w:t>
      </w:r>
      <w:r w:rsidRPr="00FD53CF">
        <w:rPr>
          <w:rFonts w:ascii="Arial" w:hAnsi="Arial"/>
          <w:b/>
          <w:smallCaps/>
          <w:kern w:val="28"/>
          <w:sz w:val="28"/>
          <w:lang w:val="fr-CH"/>
        </w:rPr>
        <w:t xml:space="preserve"> </w:t>
      </w:r>
      <w:r>
        <w:rPr>
          <w:rFonts w:ascii="Arial" w:hAnsi="Arial"/>
          <w:b/>
          <w:smallCaps/>
          <w:kern w:val="28"/>
          <w:sz w:val="28"/>
          <w:lang w:val="fr-CH"/>
        </w:rPr>
        <w:t>accru</w:t>
      </w:r>
      <w:r w:rsidR="00B778A8">
        <w:rPr>
          <w:rFonts w:ascii="Arial" w:hAnsi="Arial"/>
          <w:b/>
          <w:smallCaps/>
          <w:kern w:val="28"/>
          <w:sz w:val="28"/>
          <w:lang w:val="fr-CH"/>
        </w:rPr>
        <w:t>s</w:t>
      </w:r>
    </w:p>
    <w:p w14:paraId="298A01DD" w14:textId="77777777" w:rsidR="00C569FC" w:rsidRPr="00FD53CF" w:rsidRDefault="00C569FC" w:rsidP="00C569FC">
      <w:pPr>
        <w:pStyle w:val="Kopfzeile"/>
        <w:tabs>
          <w:tab w:val="clear" w:pos="4536"/>
          <w:tab w:val="clear" w:pos="9072"/>
        </w:tabs>
        <w:rPr>
          <w:rFonts w:ascii="Arial" w:hAnsi="Arial"/>
          <w:smallCaps/>
          <w:kern w:val="28"/>
          <w:sz w:val="22"/>
          <w:lang w:val="fr-CH"/>
        </w:rPr>
      </w:pPr>
    </w:p>
    <w:p w14:paraId="2E763F65" w14:textId="56125D4B" w:rsidR="00725E8E" w:rsidRPr="005C5991" w:rsidRDefault="005C5991" w:rsidP="00725E8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fr-CH"/>
        </w:rPr>
      </w:pPr>
      <w:r w:rsidRPr="005C5991">
        <w:rPr>
          <w:rFonts w:ascii="Arial" w:hAnsi="Arial" w:cs="Arial"/>
          <w:sz w:val="22"/>
          <w:szCs w:val="22"/>
          <w:lang w:val="fr-CH"/>
        </w:rPr>
        <w:t xml:space="preserve">Sont toujours considérées comme des relations d'affaires </w:t>
      </w:r>
      <w:r w:rsidR="00B778A8">
        <w:rPr>
          <w:rFonts w:ascii="Arial" w:hAnsi="Arial" w:cs="Arial"/>
          <w:sz w:val="22"/>
          <w:szCs w:val="22"/>
          <w:lang w:val="fr-CH"/>
        </w:rPr>
        <w:t>comportant des</w:t>
      </w:r>
      <w:r w:rsidRPr="005C5991">
        <w:rPr>
          <w:rFonts w:ascii="Arial" w:hAnsi="Arial" w:cs="Arial"/>
          <w:sz w:val="22"/>
          <w:szCs w:val="22"/>
          <w:lang w:val="fr-CH"/>
        </w:rPr>
        <w:t xml:space="preserve"> risque</w:t>
      </w:r>
      <w:r w:rsidR="00B778A8">
        <w:rPr>
          <w:rFonts w:ascii="Arial" w:hAnsi="Arial" w:cs="Arial"/>
          <w:sz w:val="22"/>
          <w:szCs w:val="22"/>
          <w:lang w:val="fr-CH"/>
        </w:rPr>
        <w:t>s</w:t>
      </w:r>
      <w:r w:rsidRPr="005C5991">
        <w:rPr>
          <w:rFonts w:ascii="Arial" w:hAnsi="Arial" w:cs="Arial"/>
          <w:sz w:val="22"/>
          <w:szCs w:val="22"/>
          <w:lang w:val="fr-CH"/>
        </w:rPr>
        <w:t xml:space="preserve"> accru</w:t>
      </w:r>
      <w:r w:rsidR="00B778A8">
        <w:rPr>
          <w:rFonts w:ascii="Arial" w:hAnsi="Arial" w:cs="Arial"/>
          <w:sz w:val="22"/>
          <w:szCs w:val="22"/>
          <w:lang w:val="fr-CH"/>
        </w:rPr>
        <w:t>s</w:t>
      </w:r>
      <w:r w:rsidR="008670EC">
        <w:rPr>
          <w:rFonts w:ascii="Arial" w:hAnsi="Arial" w:cs="Arial"/>
          <w:sz w:val="22"/>
          <w:szCs w:val="22"/>
          <w:lang w:val="fr-CH"/>
        </w:rPr>
        <w:t> </w:t>
      </w:r>
      <w:r w:rsidRPr="005C5991">
        <w:rPr>
          <w:rFonts w:ascii="Arial" w:hAnsi="Arial" w:cs="Arial"/>
          <w:sz w:val="22"/>
          <w:szCs w:val="22"/>
          <w:lang w:val="fr-CH"/>
        </w:rPr>
        <w:t>:</w:t>
      </w:r>
    </w:p>
    <w:p w14:paraId="096AE3CE" w14:textId="238F8BF7" w:rsidR="00725E8E" w:rsidRPr="005C5991" w:rsidRDefault="00B778A8" w:rsidP="00EB7257">
      <w:pPr>
        <w:numPr>
          <w:ilvl w:val="0"/>
          <w:numId w:val="11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bookmarkStart w:id="0" w:name="_Ref107157628"/>
      <w:r>
        <w:rPr>
          <w:rFonts w:ascii="Arial" w:hAnsi="Arial" w:cs="Arial"/>
          <w:sz w:val="22"/>
          <w:szCs w:val="22"/>
          <w:lang w:val="fr-CH"/>
        </w:rPr>
        <w:t>Doivent être</w:t>
      </w:r>
      <w:r w:rsidRPr="005C5991">
        <w:rPr>
          <w:rFonts w:ascii="Arial" w:hAnsi="Arial" w:cs="Arial"/>
          <w:sz w:val="22"/>
          <w:szCs w:val="22"/>
          <w:lang w:val="fr-CH"/>
        </w:rPr>
        <w:t xml:space="preserve"> 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considérées dans tous les cas comme des relations d'affaires </w:t>
      </w:r>
      <w:r>
        <w:rPr>
          <w:rFonts w:ascii="Arial" w:hAnsi="Arial" w:cs="Arial"/>
          <w:sz w:val="22"/>
          <w:szCs w:val="22"/>
          <w:lang w:val="fr-CH"/>
        </w:rPr>
        <w:t xml:space="preserve">comportant des </w:t>
      </w:r>
      <w:r w:rsidR="005C5991" w:rsidRPr="005C5991">
        <w:rPr>
          <w:rFonts w:ascii="Arial" w:hAnsi="Arial" w:cs="Arial"/>
          <w:sz w:val="22"/>
          <w:szCs w:val="22"/>
          <w:lang w:val="fr-CH"/>
        </w:rPr>
        <w:t>risque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accru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les relations d'affaires avec des personnes étrangères politiquement exposées et leurs proches, ainsi qu'avec des personnes </w:t>
      </w:r>
      <w:r w:rsidR="008670EC">
        <w:rPr>
          <w:rFonts w:ascii="Arial" w:hAnsi="Arial" w:cs="Arial"/>
          <w:sz w:val="22"/>
          <w:szCs w:val="22"/>
          <w:lang w:val="fr-CH"/>
        </w:rPr>
        <w:t>établies</w:t>
      </w:r>
      <w:r w:rsidR="008670EC" w:rsidRPr="005C5991">
        <w:rPr>
          <w:rFonts w:ascii="Arial" w:hAnsi="Arial" w:cs="Arial"/>
          <w:sz w:val="22"/>
          <w:szCs w:val="22"/>
          <w:lang w:val="fr-CH"/>
        </w:rPr>
        <w:t xml:space="preserve"> 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dans un pays </w:t>
      </w:r>
      <w:r w:rsidR="008670EC">
        <w:rPr>
          <w:rFonts w:ascii="Arial" w:hAnsi="Arial" w:cs="Arial"/>
          <w:sz w:val="22"/>
          <w:szCs w:val="22"/>
          <w:lang w:val="fr-CH"/>
        </w:rPr>
        <w:t>que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le </w:t>
      </w:r>
      <w:r w:rsidR="00A0647A" w:rsidRPr="00901F6B">
        <w:rPr>
          <w:rFonts w:ascii="Arial" w:hAnsi="Arial" w:cs="Arial"/>
          <w:sz w:val="22"/>
          <w:szCs w:val="22"/>
          <w:lang w:val="fr-CH"/>
        </w:rPr>
        <w:t>Groupe d'action financière (GAFI)</w:t>
      </w:r>
      <w:r w:rsidR="00A0647A">
        <w:rPr>
          <w:rFonts w:ascii="Arial" w:hAnsi="Arial" w:cs="Arial"/>
          <w:sz w:val="22"/>
          <w:szCs w:val="22"/>
          <w:lang w:val="fr-CH"/>
        </w:rPr>
        <w:t xml:space="preserve"> </w:t>
      </w:r>
      <w:r w:rsidR="008670EC">
        <w:rPr>
          <w:rFonts w:ascii="Arial" w:hAnsi="Arial" w:cs="Arial"/>
          <w:sz w:val="22"/>
          <w:szCs w:val="22"/>
          <w:lang w:val="fr-CH"/>
        </w:rPr>
        <w:t>considère</w:t>
      </w:r>
      <w:r w:rsidR="008670EC" w:rsidRPr="005C5991">
        <w:rPr>
          <w:rFonts w:ascii="Arial" w:hAnsi="Arial" w:cs="Arial"/>
          <w:sz w:val="22"/>
          <w:szCs w:val="22"/>
          <w:lang w:val="fr-CH"/>
        </w:rPr>
        <w:t xml:space="preserve"> </w:t>
      </w:r>
      <w:r w:rsidR="00846112">
        <w:rPr>
          <w:rFonts w:ascii="Arial" w:hAnsi="Arial" w:cs="Arial"/>
          <w:sz w:val="22"/>
          <w:szCs w:val="22"/>
          <w:lang w:val="fr-CH"/>
        </w:rPr>
        <w:t>« </w:t>
      </w:r>
      <w:r w:rsidR="005C5991" w:rsidRPr="005C5991">
        <w:rPr>
          <w:rFonts w:ascii="Arial" w:hAnsi="Arial" w:cs="Arial"/>
          <w:sz w:val="22"/>
          <w:szCs w:val="22"/>
          <w:lang w:val="fr-CH"/>
        </w:rPr>
        <w:t>à haut risque</w:t>
      </w:r>
      <w:r w:rsidR="00846112">
        <w:rPr>
          <w:rFonts w:ascii="Arial" w:hAnsi="Arial" w:cs="Arial"/>
          <w:sz w:val="22"/>
          <w:szCs w:val="22"/>
          <w:lang w:val="fr-CH"/>
        </w:rPr>
        <w:t> »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ou non coopératif et pour lequel </w:t>
      </w:r>
      <w:r w:rsidR="008670EC">
        <w:rPr>
          <w:rFonts w:ascii="Arial" w:hAnsi="Arial" w:cs="Arial"/>
          <w:sz w:val="22"/>
          <w:szCs w:val="22"/>
          <w:lang w:val="fr-CH"/>
        </w:rPr>
        <w:t>il invite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à </w:t>
      </w:r>
      <w:r w:rsidR="008670EC">
        <w:rPr>
          <w:rFonts w:ascii="Arial" w:hAnsi="Arial" w:cs="Arial"/>
          <w:sz w:val="22"/>
          <w:szCs w:val="22"/>
          <w:lang w:val="fr-CH"/>
        </w:rPr>
        <w:t>faire preuve d’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une </w:t>
      </w:r>
      <w:r w:rsidR="008670EC">
        <w:rPr>
          <w:rFonts w:ascii="Arial" w:hAnsi="Arial" w:cs="Arial"/>
          <w:sz w:val="22"/>
          <w:szCs w:val="22"/>
          <w:lang w:val="fr-CH"/>
        </w:rPr>
        <w:t>diligence</w:t>
      </w:r>
      <w:r w:rsidR="008670EC" w:rsidRPr="005C5991">
        <w:rPr>
          <w:rFonts w:ascii="Arial" w:hAnsi="Arial" w:cs="Arial"/>
          <w:sz w:val="22"/>
          <w:szCs w:val="22"/>
          <w:lang w:val="fr-CH"/>
        </w:rPr>
        <w:t xml:space="preserve"> </w:t>
      </w:r>
      <w:r w:rsidR="005C5991" w:rsidRPr="005C5991">
        <w:rPr>
          <w:rFonts w:ascii="Arial" w:hAnsi="Arial" w:cs="Arial"/>
          <w:sz w:val="22"/>
          <w:szCs w:val="22"/>
          <w:lang w:val="fr-CH"/>
        </w:rPr>
        <w:t>accrue</w:t>
      </w:r>
      <w:r w:rsidR="00E3552B" w:rsidRPr="00EB7257">
        <w:rPr>
          <w:rStyle w:val="Funotenzeichen"/>
          <w:rFonts w:ascii="Arial" w:hAnsi="Arial" w:cs="Arial"/>
          <w:sz w:val="22"/>
          <w:szCs w:val="22"/>
          <w:lang w:val="de-CH"/>
        </w:rPr>
        <w:footnoteReference w:id="2"/>
      </w:r>
      <w:bookmarkEnd w:id="0"/>
      <w:r w:rsidR="008D1CA4" w:rsidRPr="005C5991">
        <w:rPr>
          <w:rFonts w:ascii="Arial" w:hAnsi="Arial" w:cs="Arial"/>
          <w:sz w:val="22"/>
          <w:szCs w:val="22"/>
          <w:lang w:val="fr-CH"/>
        </w:rPr>
        <w:t>.</w:t>
      </w:r>
    </w:p>
    <w:p w14:paraId="64B20EB4" w14:textId="77777777" w:rsidR="00725E8E" w:rsidRPr="005C5991" w:rsidRDefault="00725E8E" w:rsidP="00F00C05">
      <w:pPr>
        <w:rPr>
          <w:rFonts w:ascii="Arial" w:hAnsi="Arial" w:cs="Arial"/>
          <w:sz w:val="22"/>
          <w:szCs w:val="22"/>
          <w:lang w:val="fr-CH"/>
        </w:rPr>
      </w:pPr>
    </w:p>
    <w:p w14:paraId="1DEB0A6D" w14:textId="218597B2" w:rsidR="00725E8E" w:rsidRPr="005C5991" w:rsidRDefault="008670EC" w:rsidP="00725E8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Doivent être</w:t>
      </w:r>
      <w:r w:rsidRPr="005C5991">
        <w:rPr>
          <w:rFonts w:ascii="Arial" w:hAnsi="Arial" w:cs="Arial"/>
          <w:sz w:val="22"/>
          <w:szCs w:val="22"/>
          <w:lang w:val="fr-CH"/>
        </w:rPr>
        <w:t xml:space="preserve"> 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considérées comme relations d'affaires </w:t>
      </w:r>
      <w:r>
        <w:rPr>
          <w:rFonts w:ascii="Arial" w:hAnsi="Arial" w:cs="Arial"/>
          <w:sz w:val="22"/>
          <w:szCs w:val="22"/>
          <w:lang w:val="fr-CH"/>
        </w:rPr>
        <w:t>comportant des</w:t>
      </w:r>
      <w:r w:rsidRPr="005C5991">
        <w:rPr>
          <w:rFonts w:ascii="Arial" w:hAnsi="Arial" w:cs="Arial"/>
          <w:sz w:val="22"/>
          <w:szCs w:val="22"/>
          <w:lang w:val="fr-CH"/>
        </w:rPr>
        <w:t xml:space="preserve"> </w:t>
      </w:r>
      <w:r w:rsidR="005C5991" w:rsidRPr="005C5991">
        <w:rPr>
          <w:rFonts w:ascii="Arial" w:hAnsi="Arial" w:cs="Arial"/>
          <w:sz w:val="22"/>
          <w:szCs w:val="22"/>
          <w:lang w:val="fr-CH"/>
        </w:rPr>
        <w:t>risque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accru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5C5991" w:rsidRPr="005C5991">
        <w:rPr>
          <w:rFonts w:ascii="Arial" w:hAnsi="Arial" w:cs="Arial"/>
          <w:sz w:val="22"/>
          <w:szCs w:val="22"/>
          <w:lang w:val="fr-CH"/>
        </w:rPr>
        <w:t xml:space="preserve"> en relation avec un ou plusieurs critères de risque </w:t>
      </w:r>
      <w:r>
        <w:rPr>
          <w:rFonts w:ascii="Arial" w:hAnsi="Arial" w:cs="Arial"/>
          <w:sz w:val="22"/>
          <w:szCs w:val="22"/>
          <w:lang w:val="fr-CH"/>
        </w:rPr>
        <w:t>supplémentaires </w:t>
      </w:r>
      <w:r w:rsidR="005C5991" w:rsidRPr="005C5991">
        <w:rPr>
          <w:rFonts w:ascii="Arial" w:hAnsi="Arial" w:cs="Arial"/>
          <w:sz w:val="22"/>
          <w:szCs w:val="22"/>
          <w:lang w:val="fr-CH"/>
        </w:rPr>
        <w:t>:</w:t>
      </w:r>
    </w:p>
    <w:p w14:paraId="5CFBB4D0" w14:textId="1D1946E8" w:rsidR="00E3552B" w:rsidRPr="00901F6B" w:rsidRDefault="00846112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</w:t>
      </w:r>
      <w:r w:rsidR="00901F6B" w:rsidRPr="00901F6B">
        <w:rPr>
          <w:rFonts w:ascii="Arial" w:hAnsi="Arial" w:cs="Arial"/>
          <w:sz w:val="22"/>
          <w:szCs w:val="22"/>
          <w:lang w:val="fr-CH"/>
        </w:rPr>
        <w:t>elations d'affaires avec des personnes politiquement exposées en Suisse et leurs proches ;</w:t>
      </w:r>
    </w:p>
    <w:p w14:paraId="3F5478C3" w14:textId="42E985BB" w:rsidR="00901F6B" w:rsidRDefault="00846112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elations d'affaires avec des personnes politiquement exposées </w:t>
      </w:r>
      <w:r>
        <w:rPr>
          <w:rFonts w:ascii="Arial" w:hAnsi="Arial" w:cs="Arial"/>
          <w:sz w:val="22"/>
          <w:szCs w:val="22"/>
          <w:lang w:val="fr-CH"/>
        </w:rPr>
        <w:t>exerçant</w:t>
      </w:r>
      <w:r w:rsidRPr="00901F6B">
        <w:rPr>
          <w:rFonts w:ascii="Arial" w:hAnsi="Arial" w:cs="Arial"/>
          <w:sz w:val="22"/>
          <w:szCs w:val="22"/>
          <w:lang w:val="fr-CH"/>
        </w:rPr>
        <w:t xml:space="preserve"> 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des fonctions dirigeantes au sein d'organisations intergouvernementales et </w:t>
      </w:r>
      <w:r>
        <w:rPr>
          <w:rFonts w:ascii="Arial" w:hAnsi="Arial" w:cs="Arial"/>
          <w:sz w:val="22"/>
          <w:szCs w:val="22"/>
          <w:lang w:val="fr-CH"/>
        </w:rPr>
        <w:t>leurs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 proches</w:t>
      </w:r>
      <w:r>
        <w:rPr>
          <w:rFonts w:ascii="Arial" w:hAnsi="Arial" w:cs="Arial"/>
          <w:sz w:val="22"/>
          <w:szCs w:val="22"/>
          <w:lang w:val="fr-CH"/>
        </w:rPr>
        <w:t> </w:t>
      </w:r>
      <w:r w:rsidR="00901F6B" w:rsidRPr="00901F6B">
        <w:rPr>
          <w:rFonts w:ascii="Arial" w:hAnsi="Arial" w:cs="Arial"/>
          <w:sz w:val="22"/>
          <w:szCs w:val="22"/>
          <w:lang w:val="fr-CH"/>
        </w:rPr>
        <w:t>;</w:t>
      </w:r>
    </w:p>
    <w:p w14:paraId="26A9AB94" w14:textId="47659579" w:rsidR="00E3552B" w:rsidRDefault="00846112" w:rsidP="00E3552B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r</w:t>
      </w:r>
      <w:r w:rsidR="00901F6B" w:rsidRPr="00901F6B">
        <w:rPr>
          <w:rFonts w:ascii="Arial" w:hAnsi="Arial" w:cs="Arial"/>
          <w:sz w:val="22"/>
          <w:szCs w:val="22"/>
          <w:lang w:val="fr-CH"/>
        </w:rPr>
        <w:t xml:space="preserve">elations d'affaires avec des personnes politiquement exposées </w:t>
      </w:r>
      <w:r>
        <w:rPr>
          <w:rFonts w:ascii="Arial" w:hAnsi="Arial" w:cs="Arial"/>
          <w:sz w:val="22"/>
          <w:szCs w:val="22"/>
          <w:lang w:val="fr-CH"/>
        </w:rPr>
        <w:t>exerçant</w:t>
      </w:r>
      <w:r w:rsidRPr="00901F6B">
        <w:rPr>
          <w:rFonts w:ascii="Arial" w:hAnsi="Arial" w:cs="Arial"/>
          <w:sz w:val="22"/>
          <w:szCs w:val="22"/>
          <w:lang w:val="fr-CH"/>
        </w:rPr>
        <w:t xml:space="preserve"> </w:t>
      </w:r>
      <w:r w:rsidR="00901F6B" w:rsidRPr="00901F6B">
        <w:rPr>
          <w:rFonts w:ascii="Arial" w:hAnsi="Arial" w:cs="Arial"/>
          <w:sz w:val="22"/>
          <w:szCs w:val="22"/>
          <w:lang w:val="fr-CH"/>
        </w:rPr>
        <w:t>des fonctions dirigeantes au sein de fédérations sportives internationales et leurs proches.</w:t>
      </w:r>
    </w:p>
    <w:p w14:paraId="56282554" w14:textId="77777777" w:rsidR="00901F6B" w:rsidRPr="00901F6B" w:rsidRDefault="00901F6B" w:rsidP="00901F6B">
      <w:pPr>
        <w:spacing w:before="120"/>
        <w:rPr>
          <w:rFonts w:ascii="Arial" w:hAnsi="Arial" w:cs="Arial"/>
          <w:sz w:val="22"/>
          <w:szCs w:val="22"/>
          <w:lang w:val="fr-CH"/>
        </w:rPr>
      </w:pPr>
    </w:p>
    <w:p w14:paraId="5D2CFC2D" w14:textId="48D04001" w:rsidR="00E3552B" w:rsidRPr="00901F6B" w:rsidRDefault="00A0647A" w:rsidP="00E3552B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D’autres critères pour identifier les relations d’affaires comportant des risques accrus sont </w:t>
      </w:r>
      <w:r w:rsidR="00901F6B" w:rsidRPr="00901F6B">
        <w:rPr>
          <w:rFonts w:ascii="Arial" w:hAnsi="Arial" w:cs="Arial"/>
          <w:sz w:val="22"/>
          <w:szCs w:val="22"/>
          <w:lang w:val="fr-CH"/>
        </w:rPr>
        <w:t>:</w:t>
      </w:r>
    </w:p>
    <w:p w14:paraId="21D3436F" w14:textId="77777777" w:rsidR="007A563B" w:rsidRPr="00901F6B" w:rsidRDefault="00346398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</w:t>
      </w:r>
      <w:r w:rsidR="00901F6B" w:rsidRPr="00901F6B">
        <w:rPr>
          <w:rFonts w:ascii="Arial" w:hAnsi="Arial" w:cs="Arial"/>
          <w:sz w:val="22"/>
          <w:szCs w:val="22"/>
          <w:lang w:val="fr-CH"/>
        </w:rPr>
        <w:t>e siège ou le domicile du cocontractant ou de l'ayant droit économique ou du détenteur du contrôle, ainsi que leur nationalité :</w:t>
      </w:r>
    </w:p>
    <w:p w14:paraId="40CEC12E" w14:textId="5C8C8869" w:rsidR="007A563B" w:rsidRPr="00901F6B" w:rsidRDefault="00901F6B" w:rsidP="007A563B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fr-CH"/>
        </w:rPr>
      </w:pPr>
      <w:bookmarkStart w:id="1" w:name="_Ref107154495"/>
      <w:r w:rsidRPr="00901F6B">
        <w:rPr>
          <w:rFonts w:ascii="Arial" w:hAnsi="Arial" w:cs="Arial"/>
          <w:sz w:val="22"/>
          <w:szCs w:val="22"/>
          <w:lang w:val="fr-CH"/>
        </w:rPr>
        <w:t xml:space="preserve">dans un pays </w:t>
      </w:r>
      <w:r w:rsidR="00846112">
        <w:rPr>
          <w:rFonts w:ascii="Arial" w:hAnsi="Arial" w:cs="Arial"/>
          <w:sz w:val="22"/>
          <w:szCs w:val="22"/>
          <w:lang w:val="fr-CH"/>
        </w:rPr>
        <w:t>que le</w:t>
      </w:r>
      <w:r w:rsidR="00A0647A">
        <w:rPr>
          <w:rFonts w:ascii="Arial" w:hAnsi="Arial" w:cs="Arial"/>
          <w:sz w:val="22"/>
          <w:szCs w:val="22"/>
          <w:lang w:val="fr-CH"/>
        </w:rPr>
        <w:t xml:space="preserve"> </w:t>
      </w:r>
      <w:r w:rsidR="00846112" w:rsidRPr="00901F6B">
        <w:rPr>
          <w:rFonts w:ascii="Arial" w:hAnsi="Arial" w:cs="Arial"/>
          <w:sz w:val="22"/>
          <w:szCs w:val="22"/>
          <w:lang w:val="fr-CH"/>
        </w:rPr>
        <w:t xml:space="preserve">GAFI </w:t>
      </w:r>
      <w:r w:rsidR="00846112">
        <w:rPr>
          <w:rFonts w:ascii="Arial" w:hAnsi="Arial" w:cs="Arial"/>
          <w:sz w:val="22"/>
          <w:szCs w:val="22"/>
          <w:lang w:val="fr-CH"/>
        </w:rPr>
        <w:t>considère</w:t>
      </w:r>
      <w:r w:rsidR="00846112" w:rsidRPr="00901F6B">
        <w:rPr>
          <w:rFonts w:ascii="Arial" w:hAnsi="Arial" w:cs="Arial"/>
          <w:sz w:val="22"/>
          <w:szCs w:val="22"/>
          <w:lang w:val="fr-CH"/>
        </w:rPr>
        <w:t xml:space="preserve"> </w:t>
      </w:r>
      <w:r w:rsidR="00846112">
        <w:rPr>
          <w:rFonts w:ascii="Arial" w:hAnsi="Arial" w:cs="Arial"/>
          <w:sz w:val="22"/>
          <w:szCs w:val="22"/>
          <w:lang w:val="fr-CH"/>
        </w:rPr>
        <w:t>« </w:t>
      </w:r>
      <w:r w:rsidRPr="00901F6B">
        <w:rPr>
          <w:rFonts w:ascii="Arial" w:hAnsi="Arial" w:cs="Arial"/>
          <w:sz w:val="22"/>
          <w:szCs w:val="22"/>
          <w:lang w:val="fr-CH"/>
        </w:rPr>
        <w:t>à haut risque</w:t>
      </w:r>
      <w:r w:rsidR="00846112">
        <w:rPr>
          <w:rFonts w:ascii="Arial" w:hAnsi="Arial" w:cs="Arial"/>
          <w:sz w:val="22"/>
          <w:szCs w:val="22"/>
          <w:lang w:val="fr-CH"/>
        </w:rPr>
        <w:t> »</w:t>
      </w:r>
      <w:r w:rsidRPr="00901F6B">
        <w:rPr>
          <w:rFonts w:ascii="Arial" w:hAnsi="Arial" w:cs="Arial"/>
          <w:sz w:val="22"/>
          <w:szCs w:val="22"/>
          <w:lang w:val="fr-CH"/>
        </w:rPr>
        <w:t xml:space="preserve"> ou non coopératif</w:t>
      </w:r>
      <w:r w:rsidR="00795E7F" w:rsidRPr="00EB7257">
        <w:rPr>
          <w:rFonts w:ascii="Arial" w:hAnsi="Arial" w:cs="Arial"/>
          <w:vertAlign w:val="superscript"/>
          <w:lang w:val="de-CH"/>
        </w:rPr>
        <w:footnoteReference w:id="3"/>
      </w:r>
      <w:bookmarkEnd w:id="1"/>
      <w:r w:rsidR="003E3C43">
        <w:rPr>
          <w:rFonts w:ascii="Arial" w:hAnsi="Arial" w:cs="Arial"/>
          <w:sz w:val="22"/>
          <w:szCs w:val="22"/>
          <w:lang w:val="fr-CH"/>
        </w:rPr>
        <w:t>.</w:t>
      </w:r>
    </w:p>
    <w:p w14:paraId="56D5E2F7" w14:textId="77777777" w:rsidR="007A563B" w:rsidRPr="000A137C" w:rsidRDefault="000A137C" w:rsidP="007A563B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fr-CH"/>
        </w:rPr>
      </w:pPr>
      <w:r w:rsidRPr="000A137C">
        <w:rPr>
          <w:rFonts w:ascii="Arial" w:hAnsi="Arial" w:cs="Arial"/>
          <w:sz w:val="22"/>
          <w:szCs w:val="22"/>
          <w:lang w:val="fr-CH"/>
        </w:rPr>
        <w:t>ou dans l'un des pays ou continents suivants :</w:t>
      </w:r>
    </w:p>
    <w:p w14:paraId="66711517" w14:textId="77777777" w:rsidR="00795E7F" w:rsidRPr="00EB7257" w:rsidRDefault="007A563B" w:rsidP="007A563B">
      <w:pPr>
        <w:numPr>
          <w:ilvl w:val="2"/>
          <w:numId w:val="18"/>
        </w:numPr>
        <w:ind w:left="1560"/>
        <w:rPr>
          <w:rFonts w:ascii="Arial" w:hAnsi="Arial" w:cs="Arial"/>
          <w:sz w:val="22"/>
          <w:szCs w:val="22"/>
          <w:lang w:val="de-CH"/>
        </w:rPr>
      </w:pPr>
      <w:r w:rsidRPr="00EB7257">
        <w:rPr>
          <w:rFonts w:ascii="Arial" w:hAnsi="Arial" w:cs="Arial"/>
          <w:sz w:val="22"/>
          <w:szCs w:val="22"/>
          <w:lang w:val="de-CH"/>
        </w:rPr>
        <w:t>…</w:t>
      </w:r>
      <w:bookmarkStart w:id="2" w:name="_Ref107156794"/>
      <w:r w:rsidRPr="00EB7257">
        <w:rPr>
          <w:rStyle w:val="Funotenzeichen"/>
          <w:rFonts w:ascii="Arial" w:hAnsi="Arial" w:cs="Arial"/>
          <w:sz w:val="22"/>
          <w:szCs w:val="22"/>
          <w:lang w:val="de-CH"/>
        </w:rPr>
        <w:footnoteReference w:id="4"/>
      </w:r>
      <w:bookmarkEnd w:id="2"/>
      <w:r w:rsidR="0063136C" w:rsidRPr="00EB7257">
        <w:rPr>
          <w:rFonts w:ascii="Arial" w:hAnsi="Arial" w:cs="Arial"/>
          <w:sz w:val="22"/>
          <w:szCs w:val="22"/>
          <w:lang w:val="de-CH"/>
        </w:rPr>
        <w:t>,</w:t>
      </w:r>
    </w:p>
    <w:p w14:paraId="1B42FAC2" w14:textId="77777777" w:rsidR="007A563B" w:rsidRPr="000A137C" w:rsidRDefault="00346398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</w:t>
      </w:r>
      <w:r w:rsidR="000A137C" w:rsidRPr="000A137C">
        <w:rPr>
          <w:rFonts w:ascii="Arial" w:hAnsi="Arial" w:cs="Arial"/>
          <w:sz w:val="22"/>
          <w:szCs w:val="22"/>
          <w:lang w:val="fr-CH"/>
        </w:rPr>
        <w:t>a nature et le lieu de l'activité commerciale du cocontractant ou de l'ayant droit économique, notamment en cas d'activité commerciale</w:t>
      </w:r>
    </w:p>
    <w:p w14:paraId="739AB16D" w14:textId="1913B9B5" w:rsidR="00795E7F" w:rsidRPr="000A137C" w:rsidRDefault="000A137C" w:rsidP="007A563B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fr-CH"/>
        </w:rPr>
      </w:pPr>
      <w:r w:rsidRPr="000A137C">
        <w:rPr>
          <w:rFonts w:ascii="Arial" w:hAnsi="Arial" w:cs="Arial"/>
          <w:sz w:val="22"/>
          <w:szCs w:val="22"/>
          <w:lang w:val="fr-CH"/>
        </w:rPr>
        <w:t xml:space="preserve">dans un pays </w:t>
      </w:r>
      <w:r w:rsidR="00846112">
        <w:rPr>
          <w:rFonts w:ascii="Arial" w:hAnsi="Arial" w:cs="Arial"/>
          <w:sz w:val="22"/>
          <w:szCs w:val="22"/>
          <w:lang w:val="fr-CH"/>
        </w:rPr>
        <w:t>que le GAFI considère</w:t>
      </w:r>
      <w:r w:rsidRPr="000A137C">
        <w:rPr>
          <w:rFonts w:ascii="Arial" w:hAnsi="Arial" w:cs="Arial"/>
          <w:sz w:val="22"/>
          <w:szCs w:val="22"/>
          <w:lang w:val="fr-CH"/>
        </w:rPr>
        <w:t xml:space="preserve"> </w:t>
      </w:r>
      <w:r w:rsidR="00846112">
        <w:rPr>
          <w:rFonts w:ascii="Arial" w:hAnsi="Arial" w:cs="Arial"/>
          <w:sz w:val="22"/>
          <w:szCs w:val="22"/>
          <w:lang w:val="fr-CH"/>
        </w:rPr>
        <w:t>« </w:t>
      </w:r>
      <w:r w:rsidRPr="000A137C">
        <w:rPr>
          <w:rFonts w:ascii="Arial" w:hAnsi="Arial" w:cs="Arial"/>
          <w:sz w:val="22"/>
          <w:szCs w:val="22"/>
          <w:lang w:val="fr-CH"/>
        </w:rPr>
        <w:t>à haut risque</w:t>
      </w:r>
      <w:r w:rsidR="00846112">
        <w:rPr>
          <w:rFonts w:ascii="Arial" w:hAnsi="Arial" w:cs="Arial"/>
          <w:sz w:val="22"/>
          <w:szCs w:val="22"/>
          <w:lang w:val="fr-CH"/>
        </w:rPr>
        <w:t> »</w:t>
      </w:r>
      <w:r w:rsidRPr="000A137C">
        <w:rPr>
          <w:rFonts w:ascii="Arial" w:hAnsi="Arial" w:cs="Arial"/>
          <w:sz w:val="22"/>
          <w:szCs w:val="22"/>
          <w:lang w:val="fr-CH"/>
        </w:rPr>
        <w:t xml:space="preserve"> ou non coopératif</w:t>
      </w:r>
      <w:r w:rsidR="0063136C" w:rsidRPr="00EB7257">
        <w:rPr>
          <w:rFonts w:ascii="Arial" w:hAnsi="Arial" w:cs="Arial"/>
          <w:vertAlign w:val="superscript"/>
          <w:lang w:val="de-CH"/>
        </w:rPr>
        <w:footnoteReference w:id="5"/>
      </w:r>
      <w:r w:rsidR="00795E7F" w:rsidRPr="000A137C">
        <w:rPr>
          <w:rFonts w:ascii="Arial" w:hAnsi="Arial" w:cs="Arial"/>
          <w:sz w:val="22"/>
          <w:szCs w:val="22"/>
          <w:lang w:val="fr-CH"/>
        </w:rPr>
        <w:t>,</w:t>
      </w:r>
    </w:p>
    <w:p w14:paraId="10959158" w14:textId="77777777" w:rsidR="007A563B" w:rsidRPr="000A137C" w:rsidRDefault="000A137C" w:rsidP="007A563B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fr-CH"/>
        </w:rPr>
      </w:pPr>
      <w:r w:rsidRPr="000A137C">
        <w:rPr>
          <w:rFonts w:ascii="Arial" w:hAnsi="Arial" w:cs="Arial"/>
          <w:sz w:val="22"/>
          <w:szCs w:val="22"/>
          <w:lang w:val="fr-CH"/>
        </w:rPr>
        <w:t>ou dans l'un des pays ou continents suivants :</w:t>
      </w:r>
    </w:p>
    <w:p w14:paraId="54F5A26D" w14:textId="77777777" w:rsidR="007A563B" w:rsidRPr="00EB7257" w:rsidRDefault="007A563B" w:rsidP="007A563B">
      <w:pPr>
        <w:numPr>
          <w:ilvl w:val="2"/>
          <w:numId w:val="18"/>
        </w:numPr>
        <w:ind w:left="1560"/>
        <w:rPr>
          <w:rFonts w:ascii="Arial" w:hAnsi="Arial" w:cs="Arial"/>
          <w:sz w:val="22"/>
          <w:szCs w:val="22"/>
          <w:lang w:val="de-CH"/>
        </w:rPr>
      </w:pPr>
      <w:r w:rsidRPr="00EB7257">
        <w:rPr>
          <w:rFonts w:ascii="Arial" w:hAnsi="Arial" w:cs="Arial"/>
          <w:sz w:val="22"/>
          <w:szCs w:val="22"/>
          <w:lang w:val="de-CH"/>
        </w:rPr>
        <w:t>…</w:t>
      </w:r>
      <w:r w:rsidRPr="00EB7257">
        <w:rPr>
          <w:rStyle w:val="Funotenzeichen"/>
          <w:rFonts w:ascii="Arial" w:hAnsi="Arial" w:cs="Arial"/>
          <w:sz w:val="22"/>
          <w:szCs w:val="22"/>
          <w:lang w:val="de-CH"/>
        </w:rPr>
        <w:footnoteReference w:id="6"/>
      </w:r>
      <w:r w:rsidRPr="00EB7257">
        <w:rPr>
          <w:rFonts w:ascii="Arial" w:hAnsi="Arial" w:cs="Arial"/>
          <w:sz w:val="22"/>
          <w:szCs w:val="22"/>
          <w:lang w:val="de-CH"/>
        </w:rPr>
        <w:t>,</w:t>
      </w:r>
    </w:p>
    <w:p w14:paraId="6E65180C" w14:textId="77777777" w:rsidR="00795E7F" w:rsidRPr="000A137C" w:rsidRDefault="00346398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 w:rsidRPr="000A137C">
        <w:rPr>
          <w:rFonts w:ascii="Arial" w:hAnsi="Arial" w:cs="Arial"/>
          <w:sz w:val="22"/>
          <w:szCs w:val="22"/>
          <w:lang w:val="fr-CH"/>
        </w:rPr>
        <w:t>L’absence</w:t>
      </w:r>
      <w:r w:rsidR="000A137C" w:rsidRPr="000A137C">
        <w:rPr>
          <w:rFonts w:ascii="Arial" w:hAnsi="Arial" w:cs="Arial"/>
          <w:sz w:val="22"/>
          <w:szCs w:val="22"/>
          <w:lang w:val="fr-CH"/>
        </w:rPr>
        <w:t xml:space="preserve"> de contact personnel avec le cocontractant ainsi qu'avec l'ayant droit économique ou le détenteur du contrôle ou son mandataire,</w:t>
      </w:r>
    </w:p>
    <w:p w14:paraId="37586624" w14:textId="24C821EF" w:rsidR="0063136C" w:rsidRPr="000A137C" w:rsidRDefault="00846112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L’a</w:t>
      </w:r>
      <w:r w:rsidR="00346398">
        <w:rPr>
          <w:rFonts w:ascii="Arial" w:hAnsi="Arial" w:cs="Arial"/>
          <w:sz w:val="22"/>
          <w:szCs w:val="22"/>
          <w:lang w:val="fr-CH"/>
        </w:rPr>
        <w:t>ctivité</w:t>
      </w:r>
      <w:r w:rsidR="000A137C" w:rsidRPr="000A137C">
        <w:rPr>
          <w:rFonts w:ascii="Arial" w:hAnsi="Arial" w:cs="Arial"/>
          <w:sz w:val="22"/>
          <w:szCs w:val="22"/>
          <w:lang w:val="fr-CH"/>
        </w:rPr>
        <w:t xml:space="preserve"> commerciale, respectivement </w:t>
      </w:r>
      <w:r>
        <w:rPr>
          <w:rFonts w:ascii="Arial" w:hAnsi="Arial" w:cs="Arial"/>
          <w:sz w:val="22"/>
          <w:szCs w:val="22"/>
          <w:lang w:val="fr-CH"/>
        </w:rPr>
        <w:t xml:space="preserve">les </w:t>
      </w:r>
      <w:r w:rsidR="000A137C" w:rsidRPr="000A137C">
        <w:rPr>
          <w:rFonts w:ascii="Arial" w:hAnsi="Arial" w:cs="Arial"/>
          <w:sz w:val="22"/>
          <w:szCs w:val="22"/>
          <w:lang w:val="fr-CH"/>
        </w:rPr>
        <w:t>prestations demandées dans le domaine</w:t>
      </w:r>
    </w:p>
    <w:p w14:paraId="55534E91" w14:textId="77777777" w:rsidR="000A137C" w:rsidRDefault="000A137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de-CH"/>
        </w:rPr>
      </w:pPr>
      <w:r w:rsidRPr="000A137C">
        <w:rPr>
          <w:rFonts w:ascii="Arial" w:hAnsi="Arial" w:cs="Arial"/>
          <w:sz w:val="22"/>
          <w:szCs w:val="22"/>
          <w:lang w:val="de-CH"/>
        </w:rPr>
        <w:t>du commerce des armes,</w:t>
      </w:r>
    </w:p>
    <w:p w14:paraId="77F9E232" w14:textId="2CCA84C0" w:rsidR="0063136C" w:rsidRPr="00EB7257" w:rsidRDefault="00A0647A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des entreprises</w:t>
      </w:r>
      <w:r w:rsidRPr="00B56FAC">
        <w:rPr>
          <w:rFonts w:ascii="Arial" w:hAnsi="Arial" w:cs="Arial"/>
          <w:sz w:val="22"/>
          <w:szCs w:val="22"/>
          <w:lang w:val="de-CH"/>
        </w:rPr>
        <w:t xml:space="preserve"> </w:t>
      </w:r>
      <w:r w:rsidR="00B56FAC" w:rsidRPr="00B56FAC">
        <w:rPr>
          <w:rFonts w:ascii="Arial" w:hAnsi="Arial" w:cs="Arial"/>
          <w:sz w:val="22"/>
          <w:szCs w:val="22"/>
          <w:lang w:val="de-CH"/>
        </w:rPr>
        <w:t>de casinos,</w:t>
      </w:r>
    </w:p>
    <w:p w14:paraId="486789FB" w14:textId="705372B1" w:rsidR="00795E7F" w:rsidRPr="00B56FAC" w:rsidRDefault="00B56FA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fr-CH"/>
        </w:rPr>
      </w:pPr>
      <w:r w:rsidRPr="00B56FAC">
        <w:rPr>
          <w:rFonts w:ascii="Arial" w:hAnsi="Arial" w:cs="Arial"/>
          <w:sz w:val="22"/>
          <w:szCs w:val="22"/>
          <w:lang w:val="fr-CH"/>
        </w:rPr>
        <w:t xml:space="preserve">de l'extraction/du commerce des </w:t>
      </w:r>
      <w:r w:rsidR="00A0647A">
        <w:rPr>
          <w:rFonts w:ascii="Arial" w:hAnsi="Arial" w:cs="Arial"/>
          <w:sz w:val="22"/>
          <w:szCs w:val="22"/>
          <w:lang w:val="fr-CH"/>
        </w:rPr>
        <w:t>métaux</w:t>
      </w:r>
      <w:r w:rsidR="00A0647A" w:rsidRPr="00B56FAC">
        <w:rPr>
          <w:rFonts w:ascii="Arial" w:hAnsi="Arial" w:cs="Arial"/>
          <w:sz w:val="22"/>
          <w:szCs w:val="22"/>
          <w:lang w:val="fr-CH"/>
        </w:rPr>
        <w:t xml:space="preserve"> </w:t>
      </w:r>
      <w:r w:rsidRPr="00B56FAC">
        <w:rPr>
          <w:rFonts w:ascii="Arial" w:hAnsi="Arial" w:cs="Arial"/>
          <w:sz w:val="22"/>
          <w:szCs w:val="22"/>
          <w:lang w:val="fr-CH"/>
        </w:rPr>
        <w:t>précieu</w:t>
      </w:r>
      <w:r w:rsidR="00A0647A">
        <w:rPr>
          <w:rFonts w:ascii="Arial" w:hAnsi="Arial" w:cs="Arial"/>
          <w:sz w:val="22"/>
          <w:szCs w:val="22"/>
          <w:lang w:val="fr-CH"/>
        </w:rPr>
        <w:t>x</w:t>
      </w:r>
      <w:r w:rsidRPr="00B56FAC">
        <w:rPr>
          <w:rFonts w:ascii="Arial" w:hAnsi="Arial" w:cs="Arial"/>
          <w:sz w:val="22"/>
          <w:szCs w:val="22"/>
          <w:lang w:val="fr-CH"/>
        </w:rPr>
        <w:t>,</w:t>
      </w:r>
    </w:p>
    <w:p w14:paraId="472538BA" w14:textId="77777777" w:rsidR="0063136C" w:rsidRPr="00EB7257" w:rsidRDefault="0063136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de-CH"/>
        </w:rPr>
      </w:pPr>
      <w:r w:rsidRPr="00EB7257">
        <w:rPr>
          <w:rFonts w:ascii="Arial" w:hAnsi="Arial" w:cs="Arial"/>
          <w:sz w:val="22"/>
          <w:szCs w:val="22"/>
          <w:lang w:val="de-CH"/>
        </w:rPr>
        <w:t>…</w:t>
      </w:r>
      <w:r w:rsidRPr="00EB7257">
        <w:rPr>
          <w:rStyle w:val="Funotenzeichen"/>
          <w:rFonts w:ascii="Arial" w:hAnsi="Arial" w:cs="Arial"/>
          <w:sz w:val="22"/>
          <w:szCs w:val="22"/>
          <w:lang w:val="de-CH"/>
        </w:rPr>
        <w:footnoteReference w:id="7"/>
      </w:r>
      <w:r w:rsidR="00A45970" w:rsidRPr="00EB7257">
        <w:rPr>
          <w:rFonts w:ascii="Arial" w:hAnsi="Arial" w:cs="Arial"/>
          <w:sz w:val="22"/>
          <w:szCs w:val="22"/>
          <w:lang w:val="de-CH"/>
        </w:rPr>
        <w:t xml:space="preserve"> </w:t>
      </w:r>
      <w:r w:rsidR="00B56FAC">
        <w:rPr>
          <w:rFonts w:ascii="Arial" w:hAnsi="Arial" w:cs="Arial"/>
          <w:sz w:val="22"/>
          <w:szCs w:val="22"/>
          <w:lang w:val="de-CH"/>
        </w:rPr>
        <w:t>ou</w:t>
      </w:r>
    </w:p>
    <w:p w14:paraId="79FE098A" w14:textId="77777777" w:rsidR="00A45970" w:rsidRPr="00EB7257" w:rsidRDefault="00B56FA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de-CH"/>
        </w:rPr>
      </w:pPr>
      <w:r w:rsidRPr="00B56FAC">
        <w:rPr>
          <w:rFonts w:ascii="Arial" w:hAnsi="Arial" w:cs="Arial"/>
          <w:sz w:val="22"/>
          <w:szCs w:val="22"/>
          <w:lang w:val="de-CH"/>
        </w:rPr>
        <w:t>si l'activité commerciale est inconnue</w:t>
      </w:r>
    </w:p>
    <w:p w14:paraId="21C0E866" w14:textId="4C63F24D" w:rsidR="00795E7F" w:rsidRPr="0006512B" w:rsidRDefault="00346398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fr-CH"/>
        </w:rPr>
      </w:pPr>
      <w:r w:rsidRPr="0006512B">
        <w:rPr>
          <w:rFonts w:ascii="Arial" w:hAnsi="Arial" w:cs="Arial"/>
          <w:sz w:val="22"/>
          <w:szCs w:val="22"/>
          <w:lang w:val="fr-CH"/>
        </w:rPr>
        <w:lastRenderedPageBreak/>
        <w:t>Les</w:t>
      </w:r>
      <w:r w:rsidR="0006512B" w:rsidRPr="0006512B">
        <w:rPr>
          <w:rFonts w:ascii="Arial" w:hAnsi="Arial" w:cs="Arial"/>
          <w:sz w:val="22"/>
          <w:szCs w:val="22"/>
          <w:lang w:val="fr-CH"/>
        </w:rPr>
        <w:t xml:space="preserve"> valeurs patrimoniales apportées </w:t>
      </w:r>
      <w:r w:rsidR="00A0647A">
        <w:rPr>
          <w:rFonts w:ascii="Arial" w:hAnsi="Arial" w:cs="Arial"/>
          <w:sz w:val="22"/>
          <w:szCs w:val="22"/>
          <w:lang w:val="fr-CH"/>
        </w:rPr>
        <w:t>sont supérieures</w:t>
      </w:r>
      <w:r w:rsidR="0006512B" w:rsidRPr="0006512B">
        <w:rPr>
          <w:rFonts w:ascii="Arial" w:hAnsi="Arial" w:cs="Arial"/>
          <w:sz w:val="22"/>
          <w:szCs w:val="22"/>
          <w:lang w:val="fr-CH"/>
        </w:rPr>
        <w:t xml:space="preserve"> à CHF ............. ou </w:t>
      </w:r>
      <w:r w:rsidR="00A0647A">
        <w:rPr>
          <w:rFonts w:ascii="Arial" w:hAnsi="Arial" w:cs="Arial"/>
          <w:sz w:val="22"/>
          <w:szCs w:val="22"/>
          <w:lang w:val="fr-CH"/>
        </w:rPr>
        <w:t xml:space="preserve">à </w:t>
      </w:r>
      <w:r w:rsidR="0006512B" w:rsidRPr="0006512B">
        <w:rPr>
          <w:rFonts w:ascii="Arial" w:hAnsi="Arial" w:cs="Arial"/>
          <w:sz w:val="22"/>
          <w:szCs w:val="22"/>
          <w:lang w:val="fr-CH"/>
        </w:rPr>
        <w:t>l'équivalent en monnaie étrangère ou en crypto-monnaie,</w:t>
      </w:r>
    </w:p>
    <w:p w14:paraId="00A04EE0" w14:textId="31535382" w:rsidR="00795E7F" w:rsidRPr="006464EC" w:rsidRDefault="00A0647A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e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ntrées et sorties d'actifs </w:t>
      </w:r>
      <w:r>
        <w:rPr>
          <w:rFonts w:ascii="Arial" w:hAnsi="Arial" w:cs="Arial"/>
          <w:sz w:val="22"/>
          <w:szCs w:val="22"/>
          <w:lang w:val="fr-CH"/>
        </w:rPr>
        <w:t xml:space="preserve">sont 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supérieures à CHF ...............ou </w:t>
      </w:r>
      <w:r>
        <w:rPr>
          <w:rFonts w:ascii="Arial" w:hAnsi="Arial" w:cs="Arial"/>
          <w:sz w:val="22"/>
          <w:szCs w:val="22"/>
          <w:lang w:val="fr-CH"/>
        </w:rPr>
        <w:t xml:space="preserve">à </w:t>
      </w:r>
      <w:r w:rsidR="006464EC" w:rsidRPr="006464EC">
        <w:rPr>
          <w:rFonts w:ascii="Arial" w:hAnsi="Arial" w:cs="Arial"/>
          <w:sz w:val="22"/>
          <w:szCs w:val="22"/>
          <w:lang w:val="fr-CH"/>
        </w:rPr>
        <w:t>l'équivalent en monnaie étrangère ou en crypto-monnaie,</w:t>
      </w:r>
    </w:p>
    <w:p w14:paraId="20FE953C" w14:textId="6BC6A4E0" w:rsidR="006464EC" w:rsidRDefault="00A0647A" w:rsidP="00F17816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La c</w:t>
      </w:r>
      <w:r w:rsidR="006464EC" w:rsidRPr="006464EC">
        <w:rPr>
          <w:rFonts w:ascii="Arial" w:hAnsi="Arial" w:cs="Arial"/>
          <w:sz w:val="22"/>
          <w:szCs w:val="22"/>
          <w:lang w:val="fr-CH"/>
        </w:rPr>
        <w:t>omplexité de la structure du cocontractant ou de l'ayant droit économique, par exemple</w:t>
      </w:r>
      <w:r>
        <w:rPr>
          <w:rFonts w:ascii="Arial" w:hAnsi="Arial" w:cs="Arial"/>
          <w:sz w:val="22"/>
          <w:szCs w:val="22"/>
          <w:lang w:val="fr-CH"/>
        </w:rPr>
        <w:t xml:space="preserve"> le fait d’</w:t>
      </w:r>
      <w:r w:rsidR="006464EC" w:rsidRPr="006464EC">
        <w:rPr>
          <w:rFonts w:ascii="Arial" w:hAnsi="Arial" w:cs="Arial"/>
          <w:sz w:val="22"/>
          <w:szCs w:val="22"/>
          <w:lang w:val="fr-CH"/>
        </w:rPr>
        <w:t>utilis</w:t>
      </w:r>
      <w:r>
        <w:rPr>
          <w:rFonts w:ascii="Arial" w:hAnsi="Arial" w:cs="Arial"/>
          <w:sz w:val="22"/>
          <w:szCs w:val="22"/>
          <w:lang w:val="fr-CH"/>
        </w:rPr>
        <w:t>er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plusieurs sociétés de domicile ou une société de domicile avec des actionnaires fiduciaires, dans une juridiction non transparente, sans raison compréhensible ou à des fins de placement de fortune à court terme,</w:t>
      </w:r>
    </w:p>
    <w:p w14:paraId="61AFD891" w14:textId="77777777" w:rsidR="001C7BCB" w:rsidRPr="006464EC" w:rsidRDefault="00346398" w:rsidP="00F17816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 w:rsidRPr="006464EC">
        <w:rPr>
          <w:rFonts w:ascii="Arial" w:hAnsi="Arial" w:cs="Arial"/>
          <w:sz w:val="22"/>
          <w:szCs w:val="22"/>
          <w:lang w:val="fr-CH"/>
        </w:rPr>
        <w:t>Le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mandataire fournit des informations fausses ou trompeuses ou refuse de fournir des informations,</w:t>
      </w:r>
    </w:p>
    <w:p w14:paraId="321419BE" w14:textId="0365758F" w:rsidR="00795E7F" w:rsidRPr="006464EC" w:rsidRDefault="00A0647A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relations d'affaires avec des intermédiaires financiers domiciliés ou ayant leur siège à l'étranger, dans la mesure où ceux-ci sont soumis à la législation des pays suivants en matière de blanchiment d'argent et de financement du terrorisme :</w:t>
      </w:r>
    </w:p>
    <w:p w14:paraId="482C4EC3" w14:textId="77777777" w:rsidR="00EB7257" w:rsidRPr="00EB7257" w:rsidRDefault="00A45970" w:rsidP="00EB7257">
      <w:pPr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  <w:lang w:val="de-CH"/>
        </w:rPr>
      </w:pPr>
      <w:r w:rsidRPr="00EB7257">
        <w:rPr>
          <w:rFonts w:ascii="Arial" w:hAnsi="Arial" w:cs="Arial"/>
          <w:sz w:val="22"/>
          <w:szCs w:val="22"/>
          <w:lang w:val="de-CH"/>
        </w:rPr>
        <w:t>…</w:t>
      </w:r>
      <w:r w:rsidR="00EB7257" w:rsidRPr="00EB7257">
        <w:rPr>
          <w:rFonts w:ascii="Arial" w:hAnsi="Arial" w:cs="Arial"/>
          <w:sz w:val="22"/>
          <w:szCs w:val="22"/>
          <w:lang w:val="de-CH"/>
        </w:rPr>
        <w:t>………………..</w:t>
      </w:r>
    </w:p>
    <w:p w14:paraId="66D66647" w14:textId="77777777" w:rsidR="00A45970" w:rsidRPr="00EB7257" w:rsidRDefault="00EB7257" w:rsidP="00EB7257">
      <w:pPr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  <w:lang w:val="de-CH"/>
        </w:rPr>
      </w:pPr>
      <w:r w:rsidRPr="00EB7257">
        <w:rPr>
          <w:rFonts w:ascii="Arial" w:hAnsi="Arial" w:cs="Arial"/>
          <w:sz w:val="22"/>
          <w:szCs w:val="22"/>
          <w:lang w:val="de-CH"/>
        </w:rPr>
        <w:t>…………………..</w:t>
      </w:r>
      <w:r w:rsidR="00A45970" w:rsidRPr="00EB7257">
        <w:rPr>
          <w:rStyle w:val="Funotenzeichen"/>
          <w:rFonts w:ascii="Arial" w:hAnsi="Arial" w:cs="Arial"/>
          <w:sz w:val="22"/>
          <w:szCs w:val="22"/>
          <w:lang w:val="de-CH"/>
        </w:rPr>
        <w:footnoteReference w:id="8"/>
      </w:r>
    </w:p>
    <w:p w14:paraId="4A1EB105" w14:textId="665B9B74" w:rsidR="00E3552B" w:rsidRPr="006464EC" w:rsidRDefault="00A0647A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Ou en cas de </w:t>
      </w:r>
      <w:r w:rsidR="006464EC" w:rsidRPr="006464EC">
        <w:rPr>
          <w:rFonts w:ascii="Arial" w:hAnsi="Arial" w:cs="Arial"/>
          <w:sz w:val="22"/>
          <w:szCs w:val="22"/>
          <w:lang w:val="fr-CH"/>
        </w:rPr>
        <w:t>transaction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fréquente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6464EC" w:rsidRPr="006464EC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comportant</w:t>
      </w:r>
      <w:r w:rsidRPr="006464EC">
        <w:rPr>
          <w:rFonts w:ascii="Arial" w:hAnsi="Arial" w:cs="Arial"/>
          <w:sz w:val="22"/>
          <w:szCs w:val="22"/>
          <w:lang w:val="fr-CH"/>
        </w:rPr>
        <w:t xml:space="preserve"> </w:t>
      </w:r>
      <w:r w:rsidR="006464EC" w:rsidRPr="006464EC">
        <w:rPr>
          <w:rFonts w:ascii="Arial" w:hAnsi="Arial" w:cs="Arial"/>
          <w:sz w:val="22"/>
          <w:szCs w:val="22"/>
          <w:lang w:val="fr-CH"/>
        </w:rPr>
        <w:t>des risques accrus.</w:t>
      </w:r>
    </w:p>
    <w:p w14:paraId="1679F6FE" w14:textId="77777777" w:rsidR="00237387" w:rsidRPr="006464EC" w:rsidRDefault="00237387" w:rsidP="00237387">
      <w:pPr>
        <w:rPr>
          <w:rFonts w:ascii="Arial" w:hAnsi="Arial" w:cs="Arial"/>
          <w:lang w:val="fr-CH"/>
        </w:rPr>
      </w:pPr>
    </w:p>
    <w:p w14:paraId="60053082" w14:textId="77777777" w:rsidR="0036625C" w:rsidRPr="006464EC" w:rsidRDefault="0036625C" w:rsidP="00237387">
      <w:pPr>
        <w:rPr>
          <w:rFonts w:ascii="Arial" w:hAnsi="Arial" w:cs="Arial"/>
          <w:lang w:val="fr-CH"/>
        </w:rPr>
      </w:pPr>
    </w:p>
    <w:p w14:paraId="4222DAF2" w14:textId="77777777" w:rsidR="0036625C" w:rsidRPr="006464EC" w:rsidRDefault="0036625C" w:rsidP="00237387">
      <w:pPr>
        <w:rPr>
          <w:rFonts w:ascii="Arial" w:hAnsi="Arial" w:cs="Arial"/>
          <w:lang w:val="fr-CH"/>
        </w:rPr>
      </w:pPr>
    </w:p>
    <w:p w14:paraId="4E364915" w14:textId="6D62517F" w:rsidR="006C6B8B" w:rsidRPr="0037054C" w:rsidRDefault="0036625C" w:rsidP="00237387">
      <w:pPr>
        <w:rPr>
          <w:rFonts w:ascii="Arial" w:hAnsi="Arial"/>
          <w:b/>
          <w:smallCaps/>
          <w:kern w:val="28"/>
          <w:sz w:val="28"/>
          <w:lang w:val="fr-CH"/>
        </w:rPr>
      </w:pPr>
      <w:r w:rsidRPr="001C4437">
        <w:rPr>
          <w:rFonts w:ascii="Arial" w:hAnsi="Arial"/>
          <w:b/>
          <w:smallCaps/>
          <w:kern w:val="28"/>
          <w:sz w:val="28"/>
          <w:lang w:val="fr-CH"/>
        </w:rPr>
        <w:t xml:space="preserve">II. 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 xml:space="preserve">transactions </w:t>
      </w:r>
      <w:r w:rsidR="00A0647A" w:rsidRPr="0037054C">
        <w:rPr>
          <w:rFonts w:ascii="Arial" w:hAnsi="Arial"/>
          <w:b/>
          <w:smallCaps/>
          <w:kern w:val="28"/>
          <w:sz w:val="28"/>
          <w:lang w:val="fr-CH"/>
        </w:rPr>
        <w:t xml:space="preserve">comportant des </w:t>
      </w:r>
      <w:r w:rsidR="00346398" w:rsidRPr="0037054C">
        <w:rPr>
          <w:rFonts w:ascii="Arial" w:hAnsi="Arial"/>
          <w:b/>
          <w:smallCaps/>
          <w:kern w:val="28"/>
          <w:sz w:val="28"/>
          <w:lang w:val="fr-CH"/>
        </w:rPr>
        <w:t>r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>isque</w:t>
      </w:r>
      <w:r w:rsidR="00A0647A" w:rsidRPr="0037054C">
        <w:rPr>
          <w:rFonts w:ascii="Arial" w:hAnsi="Arial"/>
          <w:b/>
          <w:smallCaps/>
          <w:kern w:val="28"/>
          <w:sz w:val="28"/>
          <w:lang w:val="fr-CH"/>
        </w:rPr>
        <w:t>s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 xml:space="preserve"> ac</w:t>
      </w:r>
      <w:r w:rsidR="00346398" w:rsidRPr="0037054C">
        <w:rPr>
          <w:rFonts w:ascii="Arial" w:hAnsi="Arial"/>
          <w:b/>
          <w:smallCaps/>
          <w:kern w:val="28"/>
          <w:sz w:val="28"/>
          <w:lang w:val="fr-CH"/>
        </w:rPr>
        <w:t>c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>ru</w:t>
      </w:r>
      <w:r w:rsidR="00A0647A" w:rsidRPr="0037054C">
        <w:rPr>
          <w:rFonts w:ascii="Arial" w:hAnsi="Arial"/>
          <w:b/>
          <w:smallCaps/>
          <w:kern w:val="28"/>
          <w:sz w:val="28"/>
          <w:lang w:val="fr-CH"/>
        </w:rPr>
        <w:t>s </w:t>
      </w:r>
      <w:r w:rsidR="00FD53CF" w:rsidRPr="0037054C">
        <w:rPr>
          <w:rFonts w:ascii="Arial" w:hAnsi="Arial"/>
          <w:b/>
          <w:smallCaps/>
          <w:kern w:val="28"/>
          <w:sz w:val="28"/>
          <w:lang w:val="fr-CH"/>
        </w:rPr>
        <w:t>:</w:t>
      </w:r>
    </w:p>
    <w:p w14:paraId="139E9C4C" w14:textId="77777777" w:rsidR="006C6B8B" w:rsidRPr="0037054C" w:rsidRDefault="006C6B8B" w:rsidP="006C6B8B">
      <w:pPr>
        <w:rPr>
          <w:rFonts w:ascii="Arial" w:hAnsi="Arial" w:cs="Arial"/>
          <w:sz w:val="22"/>
          <w:szCs w:val="22"/>
          <w:lang w:val="fr-CH"/>
        </w:rPr>
      </w:pPr>
    </w:p>
    <w:p w14:paraId="46DED824" w14:textId="6FDD67C6" w:rsidR="0036625C" w:rsidRPr="006139B0" w:rsidRDefault="006139B0" w:rsidP="00725E8E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fr-CH"/>
        </w:rPr>
      </w:pPr>
      <w:r w:rsidRPr="006139B0">
        <w:rPr>
          <w:rFonts w:ascii="Arial" w:hAnsi="Arial" w:cs="Arial"/>
          <w:sz w:val="22"/>
          <w:szCs w:val="22"/>
          <w:lang w:val="fr-CH"/>
        </w:rPr>
        <w:t xml:space="preserve">Sont toujours considérées comme des transactions </w:t>
      </w:r>
      <w:r w:rsidR="00A0647A">
        <w:rPr>
          <w:rFonts w:ascii="Arial" w:hAnsi="Arial" w:cs="Arial"/>
          <w:sz w:val="22"/>
          <w:szCs w:val="22"/>
          <w:lang w:val="fr-CH"/>
        </w:rPr>
        <w:t>comportant des risques accrus :</w:t>
      </w:r>
    </w:p>
    <w:p w14:paraId="6E16B052" w14:textId="51DDE062" w:rsidR="0036625C" w:rsidRPr="006139B0" w:rsidRDefault="00346398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transactions </w:t>
      </w:r>
      <w:r w:rsidR="009047F4">
        <w:rPr>
          <w:rFonts w:ascii="Arial" w:hAnsi="Arial" w:cs="Arial"/>
          <w:sz w:val="22"/>
          <w:szCs w:val="22"/>
          <w:lang w:val="fr-CH"/>
        </w:rPr>
        <w:t>dans le cadre</w:t>
      </w:r>
      <w:r w:rsidR="009047F4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6139B0" w:rsidRPr="006139B0">
        <w:rPr>
          <w:rFonts w:ascii="Arial" w:hAnsi="Arial" w:cs="Arial"/>
          <w:sz w:val="22"/>
          <w:szCs w:val="22"/>
          <w:lang w:val="fr-CH"/>
        </w:rPr>
        <w:t>desquelles des valeurs patrimoniales au sens de l'art.</w:t>
      </w:r>
      <w:r w:rsidR="009047F4">
        <w:rPr>
          <w:rFonts w:ascii="Arial" w:hAnsi="Arial" w:cs="Arial"/>
          <w:sz w:val="22"/>
          <w:szCs w:val="22"/>
          <w:lang w:val="fr-CH"/>
        </w:rPr>
        <w:t> 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2 let. a) du Règlement OAR d'une valeur supérieure à CHF 100'000 ou à la contre-valeur en monnaie étrangère sont apportées </w:t>
      </w:r>
      <w:r w:rsidR="009047F4" w:rsidRPr="006139B0">
        <w:rPr>
          <w:rFonts w:ascii="Arial" w:hAnsi="Arial" w:cs="Arial"/>
          <w:sz w:val="22"/>
          <w:szCs w:val="22"/>
          <w:lang w:val="fr-CH"/>
        </w:rPr>
        <w:t xml:space="preserve">physiquement </w:t>
      </w:r>
      <w:r w:rsidR="006139B0" w:rsidRPr="006139B0">
        <w:rPr>
          <w:rFonts w:ascii="Arial" w:hAnsi="Arial" w:cs="Arial"/>
          <w:sz w:val="22"/>
          <w:szCs w:val="22"/>
          <w:lang w:val="fr-CH"/>
        </w:rPr>
        <w:t>ou retirées en une fois ou de manière échelonnée et</w:t>
      </w:r>
    </w:p>
    <w:p w14:paraId="7777326C" w14:textId="713E08E8" w:rsidR="0036625C" w:rsidRPr="006139B0" w:rsidRDefault="00346398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transactions </w:t>
      </w:r>
      <w:r w:rsidR="009047F4">
        <w:rPr>
          <w:rFonts w:ascii="Arial" w:hAnsi="Arial" w:cs="Arial"/>
          <w:sz w:val="22"/>
          <w:szCs w:val="22"/>
          <w:lang w:val="fr-CH"/>
        </w:rPr>
        <w:t>dans le cadre</w:t>
      </w:r>
      <w:r w:rsidR="00A0647A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6139B0" w:rsidRPr="006139B0">
        <w:rPr>
          <w:rFonts w:ascii="Arial" w:hAnsi="Arial" w:cs="Arial"/>
          <w:sz w:val="22"/>
          <w:szCs w:val="22"/>
          <w:lang w:val="fr-CH"/>
        </w:rPr>
        <w:t>lesquelles un ou plusieurs transferts de fonds et de valeurs au sens de l'art. 2 let. a) et b) du Règlement OAR, qui semblent liés entre eux, atteignent ou dépassent le montant de CHF 5'000 ou la contre-valeur en monnaie étrangère.</w:t>
      </w:r>
    </w:p>
    <w:p w14:paraId="32D64428" w14:textId="6817B470" w:rsidR="0036625C" w:rsidRPr="006139B0" w:rsidRDefault="00A0647A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t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ransactions </w:t>
      </w:r>
      <w:r>
        <w:rPr>
          <w:rFonts w:ascii="Arial" w:hAnsi="Arial" w:cs="Arial"/>
          <w:sz w:val="22"/>
          <w:szCs w:val="22"/>
          <w:lang w:val="fr-CH"/>
        </w:rPr>
        <w:t>et les p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aiements </w:t>
      </w:r>
      <w:r w:rsidR="009047F4">
        <w:rPr>
          <w:rFonts w:ascii="Arial" w:hAnsi="Arial" w:cs="Arial"/>
          <w:sz w:val="22"/>
          <w:szCs w:val="22"/>
          <w:lang w:val="fr-CH"/>
        </w:rPr>
        <w:t>effectués depuis ou vers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un pays </w:t>
      </w:r>
      <w:r>
        <w:rPr>
          <w:rFonts w:ascii="Arial" w:hAnsi="Arial" w:cs="Arial"/>
          <w:sz w:val="22"/>
          <w:szCs w:val="22"/>
          <w:lang w:val="fr-CH"/>
        </w:rPr>
        <w:t xml:space="preserve">que le GAFI </w:t>
      </w:r>
      <w:r w:rsidR="006139B0" w:rsidRPr="006139B0">
        <w:rPr>
          <w:rFonts w:ascii="Arial" w:hAnsi="Arial" w:cs="Arial"/>
          <w:sz w:val="22"/>
          <w:szCs w:val="22"/>
          <w:lang w:val="fr-CH"/>
        </w:rPr>
        <w:t>consid</w:t>
      </w:r>
      <w:r>
        <w:rPr>
          <w:rFonts w:ascii="Arial" w:hAnsi="Arial" w:cs="Arial"/>
          <w:sz w:val="22"/>
          <w:szCs w:val="22"/>
          <w:lang w:val="fr-CH"/>
        </w:rPr>
        <w:t>ère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comme </w:t>
      </w:r>
      <w:r>
        <w:rPr>
          <w:rFonts w:ascii="Arial" w:hAnsi="Arial" w:cs="Arial"/>
          <w:sz w:val="22"/>
          <w:szCs w:val="22"/>
          <w:lang w:val="fr-CH"/>
        </w:rPr>
        <w:t>« </w:t>
      </w:r>
      <w:r w:rsidR="006139B0" w:rsidRPr="006139B0">
        <w:rPr>
          <w:rFonts w:ascii="Arial" w:hAnsi="Arial" w:cs="Arial"/>
          <w:sz w:val="22"/>
          <w:szCs w:val="22"/>
          <w:lang w:val="fr-CH"/>
        </w:rPr>
        <w:t>à haut risque</w:t>
      </w:r>
      <w:r>
        <w:rPr>
          <w:rFonts w:ascii="Arial" w:hAnsi="Arial" w:cs="Arial"/>
          <w:sz w:val="22"/>
          <w:szCs w:val="22"/>
          <w:lang w:val="fr-CH"/>
        </w:rPr>
        <w:t> »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 ou non coopératif, </w:t>
      </w:r>
      <w:r w:rsidR="009047F4">
        <w:rPr>
          <w:rFonts w:ascii="Arial" w:hAnsi="Arial" w:cs="Arial"/>
          <w:sz w:val="22"/>
          <w:szCs w:val="22"/>
          <w:lang w:val="fr-CH"/>
        </w:rPr>
        <w:t>et pour lequel</w:t>
      </w:r>
      <w:r w:rsidR="009047F4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9047F4">
        <w:rPr>
          <w:rFonts w:ascii="Arial" w:hAnsi="Arial" w:cs="Arial"/>
          <w:sz w:val="22"/>
          <w:szCs w:val="22"/>
          <w:lang w:val="fr-CH"/>
        </w:rPr>
        <w:t>il invite</w:t>
      </w:r>
      <w:r w:rsidR="009047F4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6139B0" w:rsidRPr="006139B0">
        <w:rPr>
          <w:rFonts w:ascii="Arial" w:hAnsi="Arial" w:cs="Arial"/>
          <w:sz w:val="22"/>
          <w:szCs w:val="22"/>
          <w:lang w:val="fr-CH"/>
        </w:rPr>
        <w:t xml:space="preserve">à </w:t>
      </w:r>
      <w:r w:rsidR="009047F4">
        <w:rPr>
          <w:rFonts w:ascii="Arial" w:hAnsi="Arial" w:cs="Arial"/>
          <w:sz w:val="22"/>
          <w:szCs w:val="22"/>
          <w:lang w:val="fr-CH"/>
        </w:rPr>
        <w:t>faire</w:t>
      </w:r>
      <w:r w:rsidR="009047F4" w:rsidRPr="006139B0">
        <w:rPr>
          <w:rFonts w:ascii="Arial" w:hAnsi="Arial" w:cs="Arial"/>
          <w:sz w:val="22"/>
          <w:szCs w:val="22"/>
          <w:lang w:val="fr-CH"/>
        </w:rPr>
        <w:t xml:space="preserve"> </w:t>
      </w:r>
      <w:r w:rsidR="009047F4">
        <w:rPr>
          <w:rFonts w:ascii="Arial" w:hAnsi="Arial" w:cs="Arial"/>
          <w:sz w:val="22"/>
          <w:szCs w:val="22"/>
          <w:lang w:val="fr-CH"/>
        </w:rPr>
        <w:t>preuve d’une diligence accrue</w:t>
      </w:r>
      <w:r w:rsidR="0036625C" w:rsidRPr="00EB7257">
        <w:rPr>
          <w:rStyle w:val="Funotenzeichen"/>
          <w:rFonts w:ascii="Arial" w:hAnsi="Arial" w:cs="Arial"/>
          <w:sz w:val="22"/>
          <w:szCs w:val="22"/>
          <w:lang w:val="de-CH"/>
        </w:rPr>
        <w:footnoteReference w:id="9"/>
      </w:r>
      <w:r w:rsidR="003E3C43">
        <w:rPr>
          <w:rFonts w:ascii="Arial" w:hAnsi="Arial" w:cs="Arial"/>
          <w:sz w:val="22"/>
          <w:szCs w:val="22"/>
          <w:lang w:val="fr-CH"/>
        </w:rPr>
        <w:t>.</w:t>
      </w:r>
    </w:p>
    <w:p w14:paraId="61019429" w14:textId="77777777" w:rsidR="0036625C" w:rsidRPr="006139B0" w:rsidRDefault="0036625C" w:rsidP="0036625C">
      <w:pPr>
        <w:rPr>
          <w:rFonts w:ascii="Arial" w:hAnsi="Arial" w:cs="Arial"/>
          <w:sz w:val="22"/>
          <w:szCs w:val="22"/>
          <w:lang w:val="fr-CH"/>
        </w:rPr>
      </w:pPr>
    </w:p>
    <w:p w14:paraId="149DDCBD" w14:textId="6314E7D5" w:rsidR="0036625C" w:rsidRPr="003E3C43" w:rsidRDefault="009047F4" w:rsidP="00725E8E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D’a</w:t>
      </w:r>
      <w:r w:rsidR="003E3C43" w:rsidRPr="003E3C43">
        <w:rPr>
          <w:rFonts w:ascii="Arial" w:hAnsi="Arial" w:cs="Arial"/>
          <w:sz w:val="22"/>
          <w:szCs w:val="22"/>
          <w:lang w:val="fr-CH"/>
        </w:rPr>
        <w:t xml:space="preserve">utres critères pour </w:t>
      </w:r>
      <w:r>
        <w:rPr>
          <w:rFonts w:ascii="Arial" w:hAnsi="Arial" w:cs="Arial"/>
          <w:sz w:val="22"/>
          <w:szCs w:val="22"/>
          <w:lang w:val="fr-CH"/>
        </w:rPr>
        <w:t xml:space="preserve">identifier </w:t>
      </w:r>
      <w:r w:rsidR="003E3C43" w:rsidRPr="003E3C43">
        <w:rPr>
          <w:rFonts w:ascii="Arial" w:hAnsi="Arial" w:cs="Arial"/>
          <w:sz w:val="22"/>
          <w:szCs w:val="22"/>
          <w:lang w:val="fr-CH"/>
        </w:rPr>
        <w:t xml:space="preserve">les transactions </w:t>
      </w:r>
      <w:r>
        <w:rPr>
          <w:rFonts w:ascii="Arial" w:hAnsi="Arial" w:cs="Arial"/>
          <w:sz w:val="22"/>
          <w:szCs w:val="22"/>
          <w:lang w:val="fr-CH"/>
        </w:rPr>
        <w:t>comportant des</w:t>
      </w:r>
      <w:r w:rsidRPr="003E3C43">
        <w:rPr>
          <w:rFonts w:ascii="Arial" w:hAnsi="Arial" w:cs="Arial"/>
          <w:sz w:val="22"/>
          <w:szCs w:val="22"/>
          <w:lang w:val="fr-CH"/>
        </w:rPr>
        <w:t xml:space="preserve"> </w:t>
      </w:r>
      <w:r w:rsidR="003E3C43" w:rsidRPr="003E3C43">
        <w:rPr>
          <w:rFonts w:ascii="Arial" w:hAnsi="Arial" w:cs="Arial"/>
          <w:sz w:val="22"/>
          <w:szCs w:val="22"/>
          <w:lang w:val="fr-CH"/>
        </w:rPr>
        <w:t>risque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3E3C43" w:rsidRPr="003E3C43">
        <w:rPr>
          <w:rFonts w:ascii="Arial" w:hAnsi="Arial" w:cs="Arial"/>
          <w:sz w:val="22"/>
          <w:szCs w:val="22"/>
          <w:lang w:val="fr-CH"/>
        </w:rPr>
        <w:t xml:space="preserve"> accru</w:t>
      </w:r>
      <w:r>
        <w:rPr>
          <w:rFonts w:ascii="Arial" w:hAnsi="Arial" w:cs="Arial"/>
          <w:sz w:val="22"/>
          <w:szCs w:val="22"/>
          <w:lang w:val="fr-CH"/>
        </w:rPr>
        <w:t>s sont </w:t>
      </w:r>
      <w:r w:rsidR="003E3C43" w:rsidRPr="003E3C43">
        <w:rPr>
          <w:rFonts w:ascii="Arial" w:hAnsi="Arial" w:cs="Arial"/>
          <w:sz w:val="22"/>
          <w:szCs w:val="22"/>
          <w:lang w:val="fr-CH"/>
        </w:rPr>
        <w:t>:</w:t>
      </w:r>
    </w:p>
    <w:p w14:paraId="0729EB19" w14:textId="344B91D7" w:rsidR="0036625C" w:rsidRPr="003E3C43" w:rsidRDefault="009047F4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Les e</w:t>
      </w:r>
      <w:r w:rsidR="003E3C43" w:rsidRPr="003E3C43">
        <w:rPr>
          <w:sz w:val="22"/>
          <w:szCs w:val="22"/>
          <w:lang w:val="fr-CH"/>
        </w:rPr>
        <w:t xml:space="preserve">ntrées et sorties de valeurs patrimoniales </w:t>
      </w:r>
      <w:r>
        <w:rPr>
          <w:sz w:val="22"/>
          <w:szCs w:val="22"/>
          <w:lang w:val="fr-CH"/>
        </w:rPr>
        <w:t>sont supérieures à</w:t>
      </w:r>
      <w:r w:rsidR="003E3C43" w:rsidRPr="003E3C43">
        <w:rPr>
          <w:sz w:val="22"/>
          <w:szCs w:val="22"/>
          <w:lang w:val="fr-CH"/>
        </w:rPr>
        <w:t xml:space="preserve"> CHF .......ou </w:t>
      </w:r>
      <w:r>
        <w:rPr>
          <w:sz w:val="22"/>
          <w:szCs w:val="22"/>
          <w:lang w:val="fr-CH"/>
        </w:rPr>
        <w:t xml:space="preserve">à </w:t>
      </w:r>
      <w:r w:rsidR="003E3C43" w:rsidRPr="003E3C43">
        <w:rPr>
          <w:sz w:val="22"/>
          <w:szCs w:val="22"/>
          <w:lang w:val="fr-CH"/>
        </w:rPr>
        <w:t>la contre-valeur en monnaie étrangère ou en crypto-monnaie,</w:t>
      </w:r>
    </w:p>
    <w:p w14:paraId="6E2CC68A" w14:textId="34CB4C54" w:rsidR="0036625C" w:rsidRPr="003E3C43" w:rsidRDefault="00346398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fr-CH"/>
        </w:rPr>
      </w:pPr>
      <w:r w:rsidRPr="003E3C43">
        <w:rPr>
          <w:sz w:val="22"/>
          <w:szCs w:val="22"/>
          <w:lang w:val="fr-CH"/>
        </w:rPr>
        <w:t>Des</w:t>
      </w:r>
      <w:r w:rsidR="003E3C43" w:rsidRPr="003E3C43">
        <w:rPr>
          <w:sz w:val="22"/>
          <w:szCs w:val="22"/>
          <w:lang w:val="fr-CH"/>
        </w:rPr>
        <w:t xml:space="preserve"> </w:t>
      </w:r>
      <w:r w:rsidR="009047F4">
        <w:rPr>
          <w:sz w:val="22"/>
          <w:szCs w:val="22"/>
          <w:lang w:val="fr-CH"/>
        </w:rPr>
        <w:t>divergences</w:t>
      </w:r>
      <w:r w:rsidR="009047F4" w:rsidRPr="003E3C43">
        <w:rPr>
          <w:sz w:val="22"/>
          <w:szCs w:val="22"/>
          <w:lang w:val="fr-CH"/>
        </w:rPr>
        <w:t xml:space="preserve"> </w:t>
      </w:r>
      <w:r w:rsidR="009047F4">
        <w:rPr>
          <w:sz w:val="22"/>
          <w:szCs w:val="22"/>
          <w:lang w:val="fr-CH"/>
        </w:rPr>
        <w:t>significatives</w:t>
      </w:r>
      <w:r w:rsidR="009047F4" w:rsidRPr="003E3C43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 xml:space="preserve">par rapport au volume et à la fréquence des transactions </w:t>
      </w:r>
      <w:r w:rsidR="009047F4">
        <w:rPr>
          <w:sz w:val="22"/>
          <w:szCs w:val="22"/>
          <w:lang w:val="fr-CH"/>
        </w:rPr>
        <w:t>pratiquées habituellement</w:t>
      </w:r>
      <w:r w:rsidR="003E3C43" w:rsidRPr="003E3C43">
        <w:rPr>
          <w:sz w:val="22"/>
          <w:szCs w:val="22"/>
          <w:lang w:val="fr-CH"/>
        </w:rPr>
        <w:t xml:space="preserve"> dans </w:t>
      </w:r>
      <w:r w:rsidR="009047F4">
        <w:rPr>
          <w:sz w:val="22"/>
          <w:szCs w:val="22"/>
          <w:lang w:val="fr-CH"/>
        </w:rPr>
        <w:t>le cadre de la</w:t>
      </w:r>
      <w:r w:rsidR="009047F4" w:rsidRPr="003E3C43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>relation d'affaires ; et</w:t>
      </w:r>
    </w:p>
    <w:p w14:paraId="46C99FA2" w14:textId="552344A1" w:rsidR="0036625C" w:rsidRPr="003E3C43" w:rsidRDefault="00346398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fr-CH"/>
        </w:rPr>
      </w:pPr>
      <w:r w:rsidRPr="003E3C43">
        <w:rPr>
          <w:sz w:val="22"/>
          <w:szCs w:val="22"/>
          <w:lang w:val="fr-CH"/>
        </w:rPr>
        <w:t>Des</w:t>
      </w:r>
      <w:r w:rsidR="003E3C43" w:rsidRPr="003E3C43">
        <w:rPr>
          <w:sz w:val="22"/>
          <w:szCs w:val="22"/>
          <w:lang w:val="fr-CH"/>
        </w:rPr>
        <w:t xml:space="preserve"> </w:t>
      </w:r>
      <w:r w:rsidR="009047F4">
        <w:rPr>
          <w:sz w:val="22"/>
          <w:szCs w:val="22"/>
          <w:lang w:val="fr-CH"/>
        </w:rPr>
        <w:t>divergences significatives</w:t>
      </w:r>
      <w:r w:rsidR="003E3C43" w:rsidRPr="003E3C43">
        <w:rPr>
          <w:sz w:val="22"/>
          <w:szCs w:val="22"/>
          <w:lang w:val="fr-CH"/>
        </w:rPr>
        <w:t xml:space="preserve"> par rapport au volume</w:t>
      </w:r>
      <w:r w:rsidR="009047F4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 xml:space="preserve">et </w:t>
      </w:r>
      <w:r w:rsidR="009047F4">
        <w:rPr>
          <w:sz w:val="22"/>
          <w:szCs w:val="22"/>
          <w:lang w:val="fr-CH"/>
        </w:rPr>
        <w:t>à la</w:t>
      </w:r>
      <w:r w:rsidR="003E3C43" w:rsidRPr="003E3C43">
        <w:rPr>
          <w:sz w:val="22"/>
          <w:szCs w:val="22"/>
          <w:lang w:val="fr-CH"/>
        </w:rPr>
        <w:t xml:space="preserve"> fréquence de transactions </w:t>
      </w:r>
      <w:r w:rsidR="009047F4">
        <w:rPr>
          <w:sz w:val="22"/>
          <w:szCs w:val="22"/>
          <w:lang w:val="fr-CH"/>
        </w:rPr>
        <w:t>pratiquées habituellement dans le cadre de</w:t>
      </w:r>
      <w:r w:rsidR="003E3C43" w:rsidRPr="003E3C43">
        <w:rPr>
          <w:sz w:val="22"/>
          <w:szCs w:val="22"/>
          <w:lang w:val="fr-CH"/>
        </w:rPr>
        <w:t xml:space="preserve"> relations d'affaires comparables.</w:t>
      </w:r>
    </w:p>
    <w:p w14:paraId="3FFDDB4D" w14:textId="66115CDD" w:rsidR="0036625C" w:rsidRPr="003E3C43" w:rsidRDefault="00346398" w:rsidP="00EB7257">
      <w:pPr>
        <w:pStyle w:val="Default"/>
        <w:numPr>
          <w:ilvl w:val="0"/>
          <w:numId w:val="14"/>
        </w:numPr>
        <w:spacing w:before="120"/>
        <w:ind w:left="1066" w:hanging="357"/>
        <w:rPr>
          <w:sz w:val="22"/>
          <w:szCs w:val="22"/>
          <w:lang w:val="fr-CH"/>
        </w:rPr>
      </w:pPr>
      <w:r w:rsidRPr="003E3C43">
        <w:rPr>
          <w:sz w:val="22"/>
          <w:szCs w:val="22"/>
          <w:lang w:val="fr-CH"/>
        </w:rPr>
        <w:t>Le</w:t>
      </w:r>
      <w:r w:rsidR="003E3C43" w:rsidRPr="003E3C43">
        <w:rPr>
          <w:sz w:val="22"/>
          <w:szCs w:val="22"/>
          <w:lang w:val="fr-CH"/>
        </w:rPr>
        <w:t xml:space="preserve"> pays </w:t>
      </w:r>
      <w:r w:rsidR="009047F4">
        <w:rPr>
          <w:sz w:val="22"/>
          <w:szCs w:val="22"/>
          <w:lang w:val="fr-CH"/>
        </w:rPr>
        <w:t>de provenance</w:t>
      </w:r>
      <w:r w:rsidR="009047F4" w:rsidRPr="003E3C43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 xml:space="preserve">ou de destination de paiements, notamment </w:t>
      </w:r>
      <w:r w:rsidR="009047F4">
        <w:rPr>
          <w:sz w:val="22"/>
          <w:szCs w:val="22"/>
          <w:lang w:val="fr-CH"/>
        </w:rPr>
        <w:t>pour les</w:t>
      </w:r>
      <w:r w:rsidR="003E3C43" w:rsidRPr="003E3C43">
        <w:rPr>
          <w:sz w:val="22"/>
          <w:szCs w:val="22"/>
          <w:lang w:val="fr-CH"/>
        </w:rPr>
        <w:t xml:space="preserve"> paiements </w:t>
      </w:r>
      <w:r w:rsidR="009047F4">
        <w:rPr>
          <w:sz w:val="22"/>
          <w:szCs w:val="22"/>
          <w:lang w:val="fr-CH"/>
        </w:rPr>
        <w:t>effectués depuis ou vers</w:t>
      </w:r>
      <w:r w:rsidR="003E3C43" w:rsidRPr="003E3C43">
        <w:rPr>
          <w:sz w:val="22"/>
          <w:szCs w:val="22"/>
          <w:lang w:val="fr-CH"/>
        </w:rPr>
        <w:t xml:space="preserve"> </w:t>
      </w:r>
      <w:r w:rsidR="009047F4">
        <w:rPr>
          <w:sz w:val="22"/>
          <w:szCs w:val="22"/>
          <w:lang w:val="fr-CH"/>
        </w:rPr>
        <w:t>un</w:t>
      </w:r>
      <w:r w:rsidR="009047F4" w:rsidRPr="003E3C43">
        <w:rPr>
          <w:sz w:val="22"/>
          <w:szCs w:val="22"/>
          <w:lang w:val="fr-CH"/>
        </w:rPr>
        <w:t xml:space="preserve"> </w:t>
      </w:r>
      <w:r w:rsidR="003E3C43" w:rsidRPr="003E3C43">
        <w:rPr>
          <w:sz w:val="22"/>
          <w:szCs w:val="22"/>
          <w:lang w:val="fr-CH"/>
        </w:rPr>
        <w:t xml:space="preserve">pays </w:t>
      </w:r>
      <w:r w:rsidR="009047F4">
        <w:rPr>
          <w:sz w:val="22"/>
          <w:szCs w:val="22"/>
          <w:lang w:val="fr-CH"/>
        </w:rPr>
        <w:t>que le GAFI considère</w:t>
      </w:r>
      <w:r w:rsidR="009047F4" w:rsidRPr="003E3C43">
        <w:rPr>
          <w:sz w:val="22"/>
          <w:szCs w:val="22"/>
          <w:lang w:val="fr-CH"/>
        </w:rPr>
        <w:t xml:space="preserve"> </w:t>
      </w:r>
      <w:r w:rsidR="009047F4">
        <w:rPr>
          <w:sz w:val="22"/>
          <w:szCs w:val="22"/>
          <w:lang w:val="fr-CH"/>
        </w:rPr>
        <w:t>« </w:t>
      </w:r>
      <w:r w:rsidR="003E3C43" w:rsidRPr="003E3C43">
        <w:rPr>
          <w:sz w:val="22"/>
          <w:szCs w:val="22"/>
          <w:lang w:val="fr-CH"/>
        </w:rPr>
        <w:t>à haut risque</w:t>
      </w:r>
      <w:r w:rsidR="009047F4">
        <w:rPr>
          <w:sz w:val="22"/>
          <w:szCs w:val="22"/>
          <w:lang w:val="fr-CH"/>
        </w:rPr>
        <w:t> »</w:t>
      </w:r>
      <w:r w:rsidR="003E3C43" w:rsidRPr="003E3C43">
        <w:rPr>
          <w:sz w:val="22"/>
          <w:szCs w:val="22"/>
          <w:lang w:val="fr-CH"/>
        </w:rPr>
        <w:t xml:space="preserve"> ou non coopératif</w:t>
      </w:r>
      <w:r w:rsidR="0036625C" w:rsidRPr="00EB7257">
        <w:rPr>
          <w:rStyle w:val="Funotenzeichen"/>
          <w:sz w:val="22"/>
          <w:szCs w:val="22"/>
        </w:rPr>
        <w:footnoteReference w:id="10"/>
      </w:r>
      <w:r w:rsidR="0036625C" w:rsidRPr="003E3C43">
        <w:rPr>
          <w:sz w:val="22"/>
          <w:szCs w:val="22"/>
          <w:lang w:val="fr-CH"/>
        </w:rPr>
        <w:t xml:space="preserve">, </w:t>
      </w:r>
    </w:p>
    <w:p w14:paraId="08D2DD76" w14:textId="77777777" w:rsidR="0036625C" w:rsidRPr="003E3C43" w:rsidRDefault="0036625C" w:rsidP="0036625C">
      <w:pPr>
        <w:ind w:left="720"/>
        <w:rPr>
          <w:rFonts w:ascii="Arial" w:hAnsi="Arial" w:cs="Arial"/>
          <w:sz w:val="22"/>
          <w:szCs w:val="22"/>
          <w:lang w:val="fr-CH"/>
        </w:rPr>
      </w:pPr>
    </w:p>
    <w:p w14:paraId="1C86AC18" w14:textId="77777777" w:rsidR="00E60E22" w:rsidRPr="003E3C43" w:rsidRDefault="00E60E22" w:rsidP="0036625C">
      <w:pPr>
        <w:ind w:left="720"/>
        <w:rPr>
          <w:rFonts w:ascii="Arial" w:hAnsi="Arial" w:cs="Arial"/>
          <w:sz w:val="22"/>
          <w:szCs w:val="22"/>
          <w:lang w:val="fr-CH"/>
        </w:rPr>
      </w:pPr>
    </w:p>
    <w:p w14:paraId="7584DF58" w14:textId="77777777" w:rsidR="00E60E22" w:rsidRPr="00EB7257" w:rsidRDefault="00E60E22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after="0" w:afterAutospacing="0" w:line="240" w:lineRule="auto"/>
        <w:rPr>
          <w:rFonts w:ascii="Arial" w:hAnsi="Arial" w:cs="Arial"/>
        </w:rPr>
      </w:pPr>
      <w:r w:rsidRPr="00EB7257">
        <w:rPr>
          <w:rFonts w:ascii="Arial" w:hAnsi="Arial" w:cs="Arial"/>
        </w:rPr>
        <w:t>……………………………</w:t>
      </w:r>
      <w:r w:rsidRPr="00EB7257">
        <w:rPr>
          <w:rFonts w:ascii="Arial" w:hAnsi="Arial" w:cs="Arial"/>
        </w:rPr>
        <w:tab/>
        <w:t>……………………………</w:t>
      </w:r>
    </w:p>
    <w:p w14:paraId="05792FE1" w14:textId="77777777" w:rsidR="00EB7257" w:rsidRDefault="00AF76FE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line="240" w:lineRule="auto"/>
        <w:rPr>
          <w:rFonts w:ascii="Arial" w:hAnsi="Arial" w:cs="Arial"/>
        </w:rPr>
      </w:pPr>
      <w:r w:rsidRPr="00AF76FE">
        <w:rPr>
          <w:rFonts w:ascii="Arial" w:hAnsi="Arial" w:cs="Arial"/>
        </w:rPr>
        <w:t>Lieu et date</w:t>
      </w:r>
      <w:r w:rsidR="00EB7257" w:rsidRPr="00EB7257">
        <w:rPr>
          <w:rFonts w:ascii="Arial" w:hAnsi="Arial" w:cs="Arial"/>
        </w:rPr>
        <w:tab/>
      </w:r>
      <w:r w:rsidRPr="00AF76FE">
        <w:rPr>
          <w:rFonts w:ascii="Arial" w:hAnsi="Arial" w:cs="Arial"/>
        </w:rPr>
        <w:t>L'intermédiaire financier</w:t>
      </w:r>
    </w:p>
    <w:sectPr w:rsidR="00EB7257" w:rsidSect="00585732">
      <w:headerReference w:type="default" r:id="rId8"/>
      <w:footerReference w:type="default" r:id="rId9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DE15" w14:textId="77777777" w:rsidR="008028A6" w:rsidRDefault="008028A6">
      <w:r>
        <w:separator/>
      </w:r>
    </w:p>
  </w:endnote>
  <w:endnote w:type="continuationSeparator" w:id="0">
    <w:p w14:paraId="0EEACEC4" w14:textId="77777777" w:rsidR="008028A6" w:rsidRDefault="008028A6">
      <w:r>
        <w:continuationSeparator/>
      </w:r>
    </w:p>
  </w:endnote>
  <w:endnote w:type="continuationNotice" w:id="1">
    <w:p w14:paraId="7C1CBAE7" w14:textId="77777777" w:rsidR="008028A6" w:rsidRDefault="00802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241E" w14:textId="77777777" w:rsidR="006C6B8B" w:rsidRPr="008E55A6" w:rsidRDefault="008E55A6" w:rsidP="008E55A6">
    <w:pPr>
      <w:pStyle w:val="Fuzeile"/>
      <w:jc w:val="right"/>
      <w:rPr>
        <w:rFonts w:ascii="Arial" w:hAnsi="Arial" w:cs="Arial"/>
        <w:sz w:val="20"/>
      </w:rPr>
    </w:pPr>
    <w:r w:rsidRPr="008E55A6">
      <w:rPr>
        <w:rFonts w:ascii="Arial" w:hAnsi="Arial" w:cs="Arial"/>
        <w:sz w:val="20"/>
      </w:rPr>
      <w:fldChar w:fldCharType="begin"/>
    </w:r>
    <w:r w:rsidRPr="008E55A6">
      <w:rPr>
        <w:rFonts w:ascii="Arial" w:hAnsi="Arial" w:cs="Arial"/>
        <w:sz w:val="20"/>
      </w:rPr>
      <w:instrText>PAGE   \* MERGEFORMAT</w:instrText>
    </w:r>
    <w:r w:rsidRPr="008E55A6">
      <w:rPr>
        <w:rFonts w:ascii="Arial" w:hAnsi="Arial" w:cs="Arial"/>
        <w:sz w:val="20"/>
      </w:rPr>
      <w:fldChar w:fldCharType="separate"/>
    </w:r>
    <w:r w:rsidR="00BB5D2C" w:rsidRPr="00BB5D2C">
      <w:rPr>
        <w:rFonts w:ascii="Arial" w:hAnsi="Arial" w:cs="Arial"/>
        <w:noProof/>
        <w:sz w:val="20"/>
        <w:lang w:val="de-DE"/>
      </w:rPr>
      <w:t>1</w:t>
    </w:r>
    <w:r w:rsidRPr="008E55A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583F" w14:textId="77777777" w:rsidR="008028A6" w:rsidRDefault="008028A6">
      <w:r>
        <w:separator/>
      </w:r>
    </w:p>
  </w:footnote>
  <w:footnote w:type="continuationSeparator" w:id="0">
    <w:p w14:paraId="7A6547B1" w14:textId="77777777" w:rsidR="008028A6" w:rsidRDefault="008028A6">
      <w:r>
        <w:continuationSeparator/>
      </w:r>
    </w:p>
  </w:footnote>
  <w:footnote w:type="continuationNotice" w:id="1">
    <w:p w14:paraId="2C27AC71" w14:textId="77777777" w:rsidR="008028A6" w:rsidRDefault="008028A6"/>
  </w:footnote>
  <w:footnote w:id="2">
    <w:p w14:paraId="45F7534F" w14:textId="432465C6" w:rsidR="00E3552B" w:rsidRPr="004E4EDF" w:rsidRDefault="00E3552B">
      <w:pPr>
        <w:pStyle w:val="Funotentext"/>
        <w:rPr>
          <w:rFonts w:ascii="Arial" w:hAnsi="Arial" w:cs="Arial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Pr="004E4EDF">
        <w:rPr>
          <w:rFonts w:ascii="Arial" w:hAnsi="Arial" w:cs="Arial"/>
          <w:lang w:val="fr-CH"/>
        </w:rPr>
        <w:t xml:space="preserve"> </w:t>
      </w:r>
      <w:hyperlink r:id="rId1" w:anchor="high-risk" w:history="1">
        <w:r w:rsidR="005C5991" w:rsidRPr="004E4EDF">
          <w:rPr>
            <w:rStyle w:val="Hyperlink"/>
            <w:rFonts w:ascii="Arial" w:hAnsi="Arial" w:cs="Arial"/>
            <w:sz w:val="18"/>
            <w:lang w:val="fr-CH"/>
          </w:rPr>
          <w:t>https://www.fatf-gafi.org/en/countries.html#high-risk</w:t>
        </w:r>
      </w:hyperlink>
      <w:r w:rsidR="005C5991" w:rsidRPr="004E4EDF">
        <w:rPr>
          <w:rFonts w:ascii="Arial" w:hAnsi="Arial" w:cs="Arial"/>
          <w:sz w:val="18"/>
          <w:lang w:val="fr-CH"/>
        </w:rPr>
        <w:t xml:space="preserve"> </w:t>
      </w:r>
      <w:r w:rsidR="000C092C" w:rsidRPr="004E4EDF">
        <w:rPr>
          <w:rFonts w:ascii="Arial" w:hAnsi="Arial" w:cs="Arial"/>
          <w:sz w:val="18"/>
          <w:szCs w:val="18"/>
          <w:lang w:val="fr-CH"/>
        </w:rPr>
        <w:t>(</w:t>
      </w:r>
      <w:r w:rsidR="00901F6B" w:rsidRPr="004E4EDF">
        <w:rPr>
          <w:rFonts w:ascii="Arial" w:hAnsi="Arial" w:cs="Arial"/>
          <w:sz w:val="18"/>
          <w:szCs w:val="18"/>
          <w:lang w:val="fr-CH"/>
        </w:rPr>
        <w:t>Pays à haut risqu</w:t>
      </w:r>
      <w:r w:rsidR="00846112" w:rsidRPr="004E4EDF">
        <w:rPr>
          <w:rFonts w:ascii="Arial" w:hAnsi="Arial" w:cs="Arial"/>
          <w:sz w:val="18"/>
          <w:szCs w:val="18"/>
          <w:lang w:val="fr-CH"/>
        </w:rPr>
        <w:t>e</w:t>
      </w:r>
      <w:r w:rsidR="00901F6B" w:rsidRPr="004E4EDF">
        <w:rPr>
          <w:rFonts w:ascii="Arial" w:hAnsi="Arial" w:cs="Arial"/>
          <w:sz w:val="18"/>
          <w:szCs w:val="18"/>
          <w:lang w:val="fr-CH"/>
        </w:rPr>
        <w:t xml:space="preserve"> vis</w:t>
      </w:r>
      <w:r w:rsidR="00846112" w:rsidRPr="004E4EDF">
        <w:rPr>
          <w:rFonts w:ascii="Arial" w:hAnsi="Arial" w:cs="Arial"/>
          <w:sz w:val="18"/>
          <w:szCs w:val="18"/>
          <w:lang w:val="fr-CH"/>
        </w:rPr>
        <w:t>é</w:t>
      </w:r>
      <w:r w:rsidR="00901F6B" w:rsidRPr="004E4EDF">
        <w:rPr>
          <w:rFonts w:ascii="Arial" w:hAnsi="Arial" w:cs="Arial"/>
          <w:sz w:val="18"/>
          <w:szCs w:val="18"/>
          <w:lang w:val="fr-CH"/>
        </w:rPr>
        <w:t>s par un appel à action</w:t>
      </w:r>
      <w:r w:rsidR="000C092C" w:rsidRPr="004E4EDF">
        <w:rPr>
          <w:rFonts w:ascii="Arial" w:hAnsi="Arial" w:cs="Arial"/>
          <w:sz w:val="18"/>
          <w:szCs w:val="18"/>
          <w:lang w:val="fr-CH"/>
        </w:rPr>
        <w:t>).</w:t>
      </w:r>
    </w:p>
  </w:footnote>
  <w:footnote w:id="3">
    <w:p w14:paraId="3C43CDDF" w14:textId="261DE693" w:rsidR="00795E7F" w:rsidRPr="00901F6B" w:rsidRDefault="00795E7F" w:rsidP="00795E7F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Pr="00901F6B">
        <w:rPr>
          <w:rFonts w:ascii="Arial" w:hAnsi="Arial" w:cs="Arial"/>
          <w:sz w:val="18"/>
          <w:szCs w:val="18"/>
          <w:lang w:val="fr-CH"/>
        </w:rPr>
        <w:t xml:space="preserve"> </w:t>
      </w:r>
      <w:hyperlink r:id="rId2" w:anchor="high-risk" w:history="1">
        <w:r w:rsidR="00901F6B" w:rsidRPr="0037054C">
          <w:rPr>
            <w:rStyle w:val="Hyperlink"/>
            <w:rFonts w:ascii="Arial" w:hAnsi="Arial" w:cs="Arial"/>
            <w:sz w:val="18"/>
            <w:lang w:val="fr-CH"/>
          </w:rPr>
          <w:t>https://www.fatf-gafi.org/en/countries.html#high-risk</w:t>
        </w:r>
      </w:hyperlink>
      <w:r w:rsidR="00901F6B" w:rsidRPr="0037054C">
        <w:rPr>
          <w:rFonts w:ascii="Arial" w:hAnsi="Arial" w:cs="Arial"/>
          <w:sz w:val="18"/>
          <w:lang w:val="fr-CH"/>
        </w:rPr>
        <w:t xml:space="preserve"> (</w:t>
      </w:r>
      <w:r w:rsidR="00901F6B">
        <w:rPr>
          <w:rFonts w:ascii="Arial" w:hAnsi="Arial" w:cs="Arial"/>
          <w:sz w:val="18"/>
          <w:szCs w:val="18"/>
          <w:lang w:val="fr-CH"/>
        </w:rPr>
        <w:t>Pays soumis à une surveillance renforcée</w:t>
      </w:r>
      <w:r w:rsidR="000C092C" w:rsidRPr="00901F6B">
        <w:rPr>
          <w:rFonts w:ascii="Arial" w:hAnsi="Arial" w:cs="Arial"/>
          <w:sz w:val="18"/>
          <w:szCs w:val="18"/>
          <w:lang w:val="fr-CH"/>
        </w:rPr>
        <w:t>).</w:t>
      </w:r>
    </w:p>
  </w:footnote>
  <w:footnote w:id="4">
    <w:p w14:paraId="103DCB7E" w14:textId="77777777" w:rsidR="007A563B" w:rsidRPr="00901F6B" w:rsidRDefault="007A563B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Pr="00901F6B">
        <w:rPr>
          <w:rFonts w:ascii="Arial" w:hAnsi="Arial" w:cs="Arial"/>
          <w:sz w:val="18"/>
          <w:szCs w:val="18"/>
          <w:lang w:val="fr-CH"/>
        </w:rPr>
        <w:t xml:space="preserve"> </w:t>
      </w:r>
      <w:r w:rsidR="00901F6B" w:rsidRPr="00901F6B">
        <w:rPr>
          <w:rFonts w:ascii="Arial" w:hAnsi="Arial" w:cs="Arial"/>
          <w:sz w:val="18"/>
          <w:szCs w:val="18"/>
          <w:lang w:val="fr-CH"/>
        </w:rPr>
        <w:t>Compléter par des pays ou des continents qui, du point de vue de l'IF, présentent un risque accru.</w:t>
      </w:r>
    </w:p>
  </w:footnote>
  <w:footnote w:id="5">
    <w:p w14:paraId="2DB44E55" w14:textId="77777777" w:rsidR="0063136C" w:rsidRPr="001C4437" w:rsidRDefault="0063136C" w:rsidP="0063136C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Pr="001C4437">
        <w:rPr>
          <w:rFonts w:ascii="Arial" w:hAnsi="Arial" w:cs="Arial"/>
          <w:sz w:val="18"/>
          <w:szCs w:val="18"/>
          <w:lang w:val="fr-CH"/>
        </w:rPr>
        <w:t xml:space="preserve"> </w:t>
      </w:r>
      <w:r w:rsidR="00901F6B" w:rsidRPr="001C4437">
        <w:rPr>
          <w:rFonts w:ascii="Arial" w:hAnsi="Arial" w:cs="Arial"/>
          <w:sz w:val="18"/>
          <w:szCs w:val="18"/>
          <w:lang w:val="fr-CH"/>
        </w:rPr>
        <w:t>Cf. note 2.</w:t>
      </w:r>
    </w:p>
  </w:footnote>
  <w:footnote w:id="6">
    <w:p w14:paraId="792DD723" w14:textId="77777777" w:rsidR="007A563B" w:rsidRPr="001C4437" w:rsidRDefault="007A563B" w:rsidP="007A563B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Pr="001C4437">
        <w:rPr>
          <w:rFonts w:ascii="Arial" w:hAnsi="Arial" w:cs="Arial"/>
          <w:sz w:val="18"/>
          <w:szCs w:val="18"/>
          <w:lang w:val="fr-CH"/>
        </w:rPr>
        <w:t xml:space="preserve"> </w:t>
      </w:r>
      <w:r w:rsidR="00901F6B" w:rsidRPr="001C4437">
        <w:rPr>
          <w:rFonts w:ascii="Arial" w:hAnsi="Arial" w:cs="Arial"/>
          <w:sz w:val="18"/>
          <w:szCs w:val="18"/>
          <w:lang w:val="fr-CH"/>
        </w:rPr>
        <w:t>Cf. note 3.</w:t>
      </w:r>
    </w:p>
  </w:footnote>
  <w:footnote w:id="7">
    <w:p w14:paraId="6EA345C2" w14:textId="642352C4" w:rsidR="0063136C" w:rsidRPr="00901F6B" w:rsidRDefault="0063136C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Pr="00901F6B">
        <w:rPr>
          <w:rFonts w:ascii="Arial" w:hAnsi="Arial" w:cs="Arial"/>
          <w:sz w:val="18"/>
          <w:szCs w:val="18"/>
          <w:lang w:val="fr-CH"/>
        </w:rPr>
        <w:t xml:space="preserve"> </w:t>
      </w:r>
      <w:r w:rsidR="00901F6B" w:rsidRPr="00901F6B">
        <w:rPr>
          <w:rFonts w:ascii="Arial" w:hAnsi="Arial" w:cs="Arial"/>
          <w:sz w:val="18"/>
          <w:szCs w:val="18"/>
          <w:lang w:val="fr-CH"/>
        </w:rPr>
        <w:t xml:space="preserve">Énumération à titre d'exemple ; adaptation ou complément par d'autres activités qui, du point de vue de l'IF, </w:t>
      </w:r>
      <w:r w:rsidR="00846112">
        <w:rPr>
          <w:rFonts w:ascii="Arial" w:hAnsi="Arial" w:cs="Arial"/>
          <w:sz w:val="18"/>
          <w:szCs w:val="18"/>
          <w:lang w:val="fr-CH"/>
        </w:rPr>
        <w:t>comportent des</w:t>
      </w:r>
      <w:r w:rsidR="00901F6B" w:rsidRPr="00901F6B">
        <w:rPr>
          <w:rFonts w:ascii="Arial" w:hAnsi="Arial" w:cs="Arial"/>
          <w:sz w:val="18"/>
          <w:szCs w:val="18"/>
          <w:lang w:val="fr-CH"/>
        </w:rPr>
        <w:t xml:space="preserve"> risque</w:t>
      </w:r>
      <w:r w:rsidR="00846112">
        <w:rPr>
          <w:rFonts w:ascii="Arial" w:hAnsi="Arial" w:cs="Arial"/>
          <w:sz w:val="18"/>
          <w:szCs w:val="18"/>
          <w:lang w:val="fr-CH"/>
        </w:rPr>
        <w:t>s</w:t>
      </w:r>
      <w:r w:rsidR="00901F6B" w:rsidRPr="00901F6B">
        <w:rPr>
          <w:rFonts w:ascii="Arial" w:hAnsi="Arial" w:cs="Arial"/>
          <w:sz w:val="18"/>
          <w:szCs w:val="18"/>
          <w:lang w:val="fr-CH"/>
        </w:rPr>
        <w:t xml:space="preserve"> accru</w:t>
      </w:r>
      <w:r w:rsidR="00846112">
        <w:rPr>
          <w:rFonts w:ascii="Arial" w:hAnsi="Arial" w:cs="Arial"/>
          <w:sz w:val="18"/>
          <w:szCs w:val="18"/>
          <w:lang w:val="fr-CH"/>
        </w:rPr>
        <w:t>s</w:t>
      </w:r>
      <w:r w:rsidR="00901F6B" w:rsidRPr="00901F6B">
        <w:rPr>
          <w:rFonts w:ascii="Arial" w:hAnsi="Arial" w:cs="Arial"/>
          <w:sz w:val="18"/>
          <w:szCs w:val="18"/>
          <w:lang w:val="fr-CH"/>
        </w:rPr>
        <w:t>.</w:t>
      </w:r>
    </w:p>
  </w:footnote>
  <w:footnote w:id="8">
    <w:p w14:paraId="08B820FC" w14:textId="3A2B2057" w:rsidR="00A45970" w:rsidRPr="00AF76FE" w:rsidRDefault="00A45970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Pr="00AF76FE">
        <w:rPr>
          <w:rFonts w:ascii="Arial" w:hAnsi="Arial" w:cs="Arial"/>
          <w:sz w:val="18"/>
          <w:szCs w:val="18"/>
          <w:lang w:val="fr-CH"/>
        </w:rPr>
        <w:t xml:space="preserve"> </w:t>
      </w:r>
      <w:r w:rsidR="00AF76FE" w:rsidRPr="00AF76FE">
        <w:rPr>
          <w:rFonts w:ascii="Arial" w:hAnsi="Arial" w:cs="Arial"/>
          <w:sz w:val="18"/>
          <w:szCs w:val="18"/>
          <w:lang w:val="fr-CH"/>
        </w:rPr>
        <w:t xml:space="preserve">Compléter par des pays ou des juridictions qui, du point de vue de l'IF, </w:t>
      </w:r>
      <w:r w:rsidR="009047F4">
        <w:rPr>
          <w:rFonts w:ascii="Arial" w:hAnsi="Arial" w:cs="Arial"/>
          <w:sz w:val="18"/>
          <w:szCs w:val="18"/>
          <w:lang w:val="fr-CH"/>
        </w:rPr>
        <w:t xml:space="preserve">comportent des </w:t>
      </w:r>
      <w:r w:rsidR="00AF76FE" w:rsidRPr="00AF76FE">
        <w:rPr>
          <w:rFonts w:ascii="Arial" w:hAnsi="Arial" w:cs="Arial"/>
          <w:sz w:val="18"/>
          <w:szCs w:val="18"/>
          <w:lang w:val="fr-CH"/>
        </w:rPr>
        <w:t>risque</w:t>
      </w:r>
      <w:r w:rsidR="009047F4">
        <w:rPr>
          <w:rFonts w:ascii="Arial" w:hAnsi="Arial" w:cs="Arial"/>
          <w:sz w:val="18"/>
          <w:szCs w:val="18"/>
          <w:lang w:val="fr-CH"/>
        </w:rPr>
        <w:t>s</w:t>
      </w:r>
      <w:r w:rsidR="00AF76FE" w:rsidRPr="00AF76FE">
        <w:rPr>
          <w:rFonts w:ascii="Arial" w:hAnsi="Arial" w:cs="Arial"/>
          <w:sz w:val="18"/>
          <w:szCs w:val="18"/>
          <w:lang w:val="fr-CH"/>
        </w:rPr>
        <w:t xml:space="preserve"> accru</w:t>
      </w:r>
      <w:r w:rsidR="009047F4">
        <w:rPr>
          <w:rFonts w:ascii="Arial" w:hAnsi="Arial" w:cs="Arial"/>
          <w:sz w:val="18"/>
          <w:szCs w:val="18"/>
          <w:lang w:val="fr-CH"/>
        </w:rPr>
        <w:t>s</w:t>
      </w:r>
      <w:r w:rsidR="00AF76FE" w:rsidRPr="00AF76FE">
        <w:rPr>
          <w:rFonts w:ascii="Arial" w:hAnsi="Arial" w:cs="Arial"/>
          <w:sz w:val="18"/>
          <w:szCs w:val="18"/>
          <w:lang w:val="fr-CH"/>
        </w:rPr>
        <w:t>.</w:t>
      </w:r>
    </w:p>
  </w:footnote>
  <w:footnote w:id="9">
    <w:p w14:paraId="1AD6209E" w14:textId="77777777" w:rsidR="0036625C" w:rsidRPr="0037054C" w:rsidRDefault="0036625C">
      <w:pPr>
        <w:pStyle w:val="Funotentext"/>
        <w:rPr>
          <w:rFonts w:ascii="Arial" w:hAnsi="Arial"/>
          <w:sz w:val="18"/>
          <w:lang w:val="fr-CH"/>
        </w:rPr>
      </w:pPr>
      <w:r w:rsidRPr="007B0FB9">
        <w:rPr>
          <w:rStyle w:val="Funotenzeichen"/>
          <w:rFonts w:ascii="Arial" w:hAnsi="Arial" w:cs="Arial"/>
          <w:lang w:val="de-CH"/>
        </w:rPr>
        <w:footnoteRef/>
      </w:r>
      <w:r w:rsidRPr="0037054C">
        <w:rPr>
          <w:rFonts w:ascii="Arial" w:hAnsi="Arial"/>
          <w:sz w:val="18"/>
          <w:lang w:val="fr-CH"/>
        </w:rPr>
        <w:t xml:space="preserve"> </w:t>
      </w:r>
      <w:r w:rsidR="00AF76FE" w:rsidRPr="0037054C">
        <w:rPr>
          <w:rFonts w:ascii="Arial" w:hAnsi="Arial"/>
          <w:sz w:val="18"/>
          <w:lang w:val="fr-CH"/>
        </w:rPr>
        <w:t xml:space="preserve">Cf. note </w:t>
      </w:r>
      <w:r w:rsidR="009047F4" w:rsidRPr="004E4EDF">
        <w:rPr>
          <w:rFonts w:ascii="Arial" w:hAnsi="Arial" w:cs="Arial"/>
          <w:sz w:val="18"/>
          <w:szCs w:val="18"/>
          <w:lang w:val="fr-CH"/>
        </w:rPr>
        <w:t xml:space="preserve">de bas de page </w:t>
      </w:r>
      <w:r w:rsidR="00AF76FE" w:rsidRPr="0037054C">
        <w:rPr>
          <w:rFonts w:ascii="Arial" w:hAnsi="Arial"/>
          <w:sz w:val="18"/>
          <w:lang w:val="fr-CH"/>
        </w:rPr>
        <w:t>1</w:t>
      </w:r>
      <w:r w:rsidR="009047F4">
        <w:rPr>
          <w:rFonts w:ascii="Arial" w:hAnsi="Arial" w:cs="Arial"/>
          <w:sz w:val="18"/>
          <w:szCs w:val="18"/>
          <w:lang w:val="fr-CH"/>
        </w:rPr>
        <w:t>.</w:t>
      </w:r>
    </w:p>
  </w:footnote>
  <w:footnote w:id="10">
    <w:p w14:paraId="23AE024D" w14:textId="77777777" w:rsidR="0036625C" w:rsidRPr="0037054C" w:rsidRDefault="0036625C">
      <w:pPr>
        <w:pStyle w:val="Funotentext"/>
        <w:rPr>
          <w:rFonts w:ascii="Arial" w:hAnsi="Arial"/>
          <w:lang w:val="fr-CH"/>
        </w:rPr>
      </w:pPr>
      <w:r w:rsidRPr="007B0FB9">
        <w:rPr>
          <w:rStyle w:val="Funotenzeichen"/>
          <w:rFonts w:ascii="Arial" w:hAnsi="Arial" w:cs="Arial"/>
          <w:sz w:val="18"/>
          <w:szCs w:val="18"/>
          <w:lang w:val="de-CH"/>
        </w:rPr>
        <w:footnoteRef/>
      </w:r>
      <w:r w:rsidRPr="0037054C">
        <w:rPr>
          <w:rFonts w:ascii="Arial" w:hAnsi="Arial"/>
          <w:sz w:val="18"/>
          <w:lang w:val="fr-CH"/>
        </w:rPr>
        <w:t xml:space="preserve"> </w:t>
      </w:r>
      <w:r w:rsidR="00AF76FE" w:rsidRPr="0037054C">
        <w:rPr>
          <w:rFonts w:ascii="Arial" w:hAnsi="Arial"/>
          <w:sz w:val="18"/>
          <w:lang w:val="fr-CH"/>
        </w:rPr>
        <w:t xml:space="preserve">Cf. note </w:t>
      </w:r>
      <w:r w:rsidR="009047F4">
        <w:rPr>
          <w:rFonts w:ascii="Arial" w:hAnsi="Arial" w:cs="Arial"/>
          <w:sz w:val="18"/>
          <w:szCs w:val="18"/>
          <w:lang w:val="fr-CH"/>
        </w:rPr>
        <w:t xml:space="preserve">de bas de page </w:t>
      </w:r>
      <w:r w:rsidR="00AF76FE" w:rsidRPr="0037054C">
        <w:rPr>
          <w:rFonts w:ascii="Arial" w:hAnsi="Arial"/>
          <w:sz w:val="18"/>
          <w:lang w:val="fr-CH"/>
        </w:rPr>
        <w:t>2</w:t>
      </w:r>
      <w:r w:rsidR="009047F4">
        <w:rPr>
          <w:rFonts w:ascii="Arial" w:hAnsi="Arial" w:cs="Arial"/>
          <w:sz w:val="18"/>
          <w:szCs w:val="18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290"/>
    </w:tblGrid>
    <w:tr w:rsidR="00787D34" w:rsidRPr="00C30575" w14:paraId="747A7FD0" w14:textId="77777777">
      <w:tc>
        <w:tcPr>
          <w:tcW w:w="3070" w:type="dxa"/>
        </w:tcPr>
        <w:p w14:paraId="384F1652" w14:textId="77777777" w:rsidR="00787D34" w:rsidRPr="006C6B8B" w:rsidRDefault="00787D34" w:rsidP="00585732">
          <w:pPr>
            <w:pStyle w:val="Kopfzeile"/>
            <w:rPr>
              <w:rFonts w:ascii="Arial" w:hAnsi="Arial"/>
              <w:sz w:val="18"/>
              <w:szCs w:val="18"/>
              <w:lang w:val="en-GB"/>
            </w:rPr>
          </w:pPr>
          <w:r w:rsidRPr="006C6B8B">
            <w:rPr>
              <w:rFonts w:ascii="Arial" w:hAnsi="Arial"/>
              <w:sz w:val="18"/>
              <w:szCs w:val="18"/>
              <w:lang w:val="en-GB"/>
            </w:rPr>
            <w:t>S</w:t>
          </w:r>
          <w:r w:rsidR="00A34BF8">
            <w:rPr>
              <w:rFonts w:ascii="Arial" w:hAnsi="Arial"/>
              <w:sz w:val="18"/>
              <w:szCs w:val="18"/>
              <w:lang w:val="en-GB"/>
            </w:rPr>
            <w:t>RO SAV/</w:t>
          </w:r>
          <w:r w:rsidRPr="006C6B8B">
            <w:rPr>
              <w:rFonts w:ascii="Arial" w:hAnsi="Arial"/>
              <w:sz w:val="18"/>
              <w:szCs w:val="18"/>
              <w:lang w:val="en-GB"/>
            </w:rPr>
            <w:t>SNV</w:t>
          </w:r>
        </w:p>
      </w:tc>
      <w:tc>
        <w:tcPr>
          <w:tcW w:w="3070" w:type="dxa"/>
        </w:tcPr>
        <w:p w14:paraId="4D182560" w14:textId="77777777" w:rsidR="00787D34" w:rsidRPr="003E7414" w:rsidRDefault="006E07BB" w:rsidP="00585732">
          <w:pPr>
            <w:pStyle w:val="Kopfzeile"/>
            <w:jc w:val="center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napToGrid w:val="0"/>
              <w:sz w:val="18"/>
              <w:szCs w:val="18"/>
              <w:lang w:val="de-CH"/>
            </w:rPr>
            <w:t>0</w:t>
          </w:r>
          <w:r w:rsidR="005913F8">
            <w:rPr>
              <w:rFonts w:ascii="Arial" w:hAnsi="Arial"/>
              <w:snapToGrid w:val="0"/>
              <w:sz w:val="18"/>
              <w:szCs w:val="18"/>
              <w:lang w:val="de-CH"/>
            </w:rPr>
            <w:t>5</w:t>
          </w:r>
          <w:r w:rsidR="0036625C">
            <w:rPr>
              <w:rFonts w:ascii="Arial" w:hAnsi="Arial"/>
              <w:snapToGrid w:val="0"/>
              <w:sz w:val="18"/>
              <w:szCs w:val="18"/>
              <w:lang w:val="de-CH"/>
            </w:rPr>
            <w:t>A</w:t>
          </w:r>
          <w:r w:rsidR="00787D34">
            <w:rPr>
              <w:rFonts w:ascii="Arial" w:hAnsi="Arial"/>
              <w:snapToGrid w:val="0"/>
              <w:sz w:val="18"/>
              <w:szCs w:val="18"/>
              <w:lang w:val="de-CH"/>
            </w:rPr>
            <w:t xml:space="preserve"> </w:t>
          </w:r>
          <w:r w:rsidR="00C569FC">
            <w:rPr>
              <w:rFonts w:ascii="Arial" w:hAnsi="Arial"/>
              <w:snapToGrid w:val="0"/>
              <w:sz w:val="18"/>
              <w:szCs w:val="18"/>
              <w:lang w:val="de-CH"/>
            </w:rPr>
            <w:t>F Critères</w:t>
          </w:r>
        </w:p>
      </w:tc>
      <w:tc>
        <w:tcPr>
          <w:tcW w:w="3290" w:type="dxa"/>
        </w:tcPr>
        <w:p w14:paraId="325EA8B2" w14:textId="2CB453B5" w:rsidR="00787D34" w:rsidRPr="00C30575" w:rsidRDefault="00595854" w:rsidP="00EB7257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  <w:lang w:val="de-CH"/>
            </w:rPr>
            <w:t xml:space="preserve">V. </w:t>
          </w:r>
          <w:r w:rsidR="00EB7257">
            <w:rPr>
              <w:rFonts w:ascii="Arial" w:hAnsi="Arial" w:cs="Arial"/>
              <w:sz w:val="18"/>
              <w:szCs w:val="18"/>
              <w:lang w:val="de-CH"/>
            </w:rPr>
            <w:t>202</w:t>
          </w:r>
          <w:r w:rsidR="002F6C63">
            <w:rPr>
              <w:rFonts w:ascii="Arial" w:hAnsi="Arial" w:cs="Arial"/>
              <w:sz w:val="18"/>
              <w:szCs w:val="18"/>
              <w:lang w:val="de-CH"/>
            </w:rPr>
            <w:t>4</w:t>
          </w:r>
        </w:p>
      </w:tc>
    </w:tr>
  </w:tbl>
  <w:p w14:paraId="1A8655E3" w14:textId="77777777" w:rsidR="00787D34" w:rsidRDefault="00787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F90"/>
    <w:multiLevelType w:val="hybridMultilevel"/>
    <w:tmpl w:val="9314F618"/>
    <w:lvl w:ilvl="0" w:tplc="ABB6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0F6"/>
    <w:multiLevelType w:val="hybridMultilevel"/>
    <w:tmpl w:val="66C056EA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63F42454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8070003">
      <w:start w:val="1"/>
      <w:numFmt w:val="bullet"/>
      <w:lvlText w:val="o"/>
      <w:lvlJc w:val="left"/>
      <w:pPr>
        <w:ind w:left="2509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90BAB"/>
    <w:multiLevelType w:val="hybridMultilevel"/>
    <w:tmpl w:val="F6D86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8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1D4"/>
    <w:multiLevelType w:val="hybridMultilevel"/>
    <w:tmpl w:val="C5A4C6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5ACE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2571"/>
    <w:multiLevelType w:val="hybridMultilevel"/>
    <w:tmpl w:val="39F24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6BA"/>
    <w:multiLevelType w:val="hybridMultilevel"/>
    <w:tmpl w:val="67C2E54C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4102BE"/>
    <w:multiLevelType w:val="hybridMultilevel"/>
    <w:tmpl w:val="0C9E6BE2"/>
    <w:lvl w:ilvl="0" w:tplc="63F4245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65C21"/>
    <w:multiLevelType w:val="hybridMultilevel"/>
    <w:tmpl w:val="AE6E247A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A25"/>
    <w:multiLevelType w:val="hybridMultilevel"/>
    <w:tmpl w:val="ACCA34F2"/>
    <w:name w:val="06AbsAufz - eing"/>
    <w:lvl w:ilvl="0" w:tplc="E8AEF6F4">
      <w:start w:val="2"/>
      <w:numFmt w:val="bullet"/>
      <w:pStyle w:val="06AbsAufz-eing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E5B"/>
    <w:multiLevelType w:val="hybridMultilevel"/>
    <w:tmpl w:val="67C2E54C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70592"/>
    <w:multiLevelType w:val="hybridMultilevel"/>
    <w:tmpl w:val="39F24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71E8"/>
    <w:multiLevelType w:val="hybridMultilevel"/>
    <w:tmpl w:val="56DA69C0"/>
    <w:lvl w:ilvl="0" w:tplc="08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602373"/>
    <w:multiLevelType w:val="hybridMultilevel"/>
    <w:tmpl w:val="4224C364"/>
    <w:lvl w:ilvl="0" w:tplc="ABB605F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17855"/>
    <w:multiLevelType w:val="hybridMultilevel"/>
    <w:tmpl w:val="32321E92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F6B62"/>
    <w:multiLevelType w:val="hybridMultilevel"/>
    <w:tmpl w:val="FAF06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027"/>
    <w:multiLevelType w:val="hybridMultilevel"/>
    <w:tmpl w:val="40DC8488"/>
    <w:lvl w:ilvl="0" w:tplc="D31C4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401DA"/>
    <w:multiLevelType w:val="hybridMultilevel"/>
    <w:tmpl w:val="E984F3F6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509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F35407"/>
    <w:multiLevelType w:val="hybridMultilevel"/>
    <w:tmpl w:val="BA5E2246"/>
    <w:lvl w:ilvl="0" w:tplc="8BB4EC6A">
      <w:start w:val="1"/>
      <w:numFmt w:val="bullet"/>
      <w:lvlText w:val="▪"/>
      <w:lvlJc w:val="left"/>
      <w:pPr>
        <w:tabs>
          <w:tab w:val="num" w:pos="1310"/>
        </w:tabs>
        <w:ind w:left="1310" w:hanging="230"/>
      </w:pPr>
      <w:rPr>
        <w:rFonts w:ascii="Verdana" w:hAnsi="Verdan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938271">
    <w:abstractNumId w:val="18"/>
  </w:num>
  <w:num w:numId="2" w16cid:durableId="1049764719">
    <w:abstractNumId w:val="20"/>
  </w:num>
  <w:num w:numId="3" w16cid:durableId="134176764">
    <w:abstractNumId w:val="16"/>
  </w:num>
  <w:num w:numId="4" w16cid:durableId="1805543281">
    <w:abstractNumId w:val="10"/>
  </w:num>
  <w:num w:numId="5" w16cid:durableId="139201755">
    <w:abstractNumId w:val="3"/>
  </w:num>
  <w:num w:numId="6" w16cid:durableId="1027293389">
    <w:abstractNumId w:val="6"/>
  </w:num>
  <w:num w:numId="7" w16cid:durableId="572157529">
    <w:abstractNumId w:val="17"/>
  </w:num>
  <w:num w:numId="8" w16cid:durableId="1848053477">
    <w:abstractNumId w:val="4"/>
  </w:num>
  <w:num w:numId="9" w16cid:durableId="967974073">
    <w:abstractNumId w:val="0"/>
  </w:num>
  <w:num w:numId="10" w16cid:durableId="427848896">
    <w:abstractNumId w:val="13"/>
  </w:num>
  <w:num w:numId="11" w16cid:durableId="1472408764">
    <w:abstractNumId w:val="8"/>
  </w:num>
  <w:num w:numId="12" w16cid:durableId="316571111">
    <w:abstractNumId w:val="5"/>
  </w:num>
  <w:num w:numId="13" w16cid:durableId="774133201">
    <w:abstractNumId w:val="1"/>
  </w:num>
  <w:num w:numId="14" w16cid:durableId="2145809321">
    <w:abstractNumId w:val="14"/>
  </w:num>
  <w:num w:numId="15" w16cid:durableId="2131625318">
    <w:abstractNumId w:val="11"/>
  </w:num>
  <w:num w:numId="16" w16cid:durableId="2073890918">
    <w:abstractNumId w:val="7"/>
  </w:num>
  <w:num w:numId="17" w16cid:durableId="1196581589">
    <w:abstractNumId w:val="12"/>
  </w:num>
  <w:num w:numId="18" w16cid:durableId="1528058949">
    <w:abstractNumId w:val="2"/>
  </w:num>
  <w:num w:numId="19" w16cid:durableId="1385838125">
    <w:abstractNumId w:val="19"/>
  </w:num>
  <w:num w:numId="20" w16cid:durableId="1326282156">
    <w:abstractNumId w:val="9"/>
  </w:num>
  <w:num w:numId="21" w16cid:durableId="7273380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9D3C3D-D1EF-4B97-9DA9-FA34C98C1618}"/>
    <w:docVar w:name="dgnword-eventsink" w:val="588117072"/>
  </w:docVars>
  <w:rsids>
    <w:rsidRoot w:val="00F00C05"/>
    <w:rsid w:val="00004E78"/>
    <w:rsid w:val="000064B9"/>
    <w:rsid w:val="00011EDB"/>
    <w:rsid w:val="00046B5F"/>
    <w:rsid w:val="0006512B"/>
    <w:rsid w:val="000665BA"/>
    <w:rsid w:val="00072707"/>
    <w:rsid w:val="000A137C"/>
    <w:rsid w:val="000A17A8"/>
    <w:rsid w:val="000C092C"/>
    <w:rsid w:val="000C2FA9"/>
    <w:rsid w:val="000D00BE"/>
    <w:rsid w:val="000D0FF8"/>
    <w:rsid w:val="000D58DB"/>
    <w:rsid w:val="00132FAA"/>
    <w:rsid w:val="00142876"/>
    <w:rsid w:val="00142BB3"/>
    <w:rsid w:val="00144230"/>
    <w:rsid w:val="00154426"/>
    <w:rsid w:val="001754FA"/>
    <w:rsid w:val="001811FA"/>
    <w:rsid w:val="00181F56"/>
    <w:rsid w:val="001B4301"/>
    <w:rsid w:val="001C4437"/>
    <w:rsid w:val="001C7BCB"/>
    <w:rsid w:val="001E1C69"/>
    <w:rsid w:val="002046E7"/>
    <w:rsid w:val="002076E8"/>
    <w:rsid w:val="002130ED"/>
    <w:rsid w:val="00215201"/>
    <w:rsid w:val="00237387"/>
    <w:rsid w:val="00251158"/>
    <w:rsid w:val="00253F91"/>
    <w:rsid w:val="00274D4B"/>
    <w:rsid w:val="00282AA4"/>
    <w:rsid w:val="00284E37"/>
    <w:rsid w:val="0028764E"/>
    <w:rsid w:val="00293ED6"/>
    <w:rsid w:val="002A4290"/>
    <w:rsid w:val="002E208D"/>
    <w:rsid w:val="002F4BA1"/>
    <w:rsid w:val="002F6C63"/>
    <w:rsid w:val="0034253F"/>
    <w:rsid w:val="00343F42"/>
    <w:rsid w:val="00346398"/>
    <w:rsid w:val="00356AA9"/>
    <w:rsid w:val="0036625C"/>
    <w:rsid w:val="0037054C"/>
    <w:rsid w:val="00380F0C"/>
    <w:rsid w:val="003903AE"/>
    <w:rsid w:val="003A2ACF"/>
    <w:rsid w:val="003E3C43"/>
    <w:rsid w:val="003F1CAD"/>
    <w:rsid w:val="00407D73"/>
    <w:rsid w:val="00412322"/>
    <w:rsid w:val="00412FE1"/>
    <w:rsid w:val="00415A06"/>
    <w:rsid w:val="00440631"/>
    <w:rsid w:val="0044327F"/>
    <w:rsid w:val="00446100"/>
    <w:rsid w:val="00460E5F"/>
    <w:rsid w:val="004D0C84"/>
    <w:rsid w:val="004E4EDF"/>
    <w:rsid w:val="00510389"/>
    <w:rsid w:val="00510755"/>
    <w:rsid w:val="00520AA3"/>
    <w:rsid w:val="0053555B"/>
    <w:rsid w:val="00540554"/>
    <w:rsid w:val="00557D35"/>
    <w:rsid w:val="00577A37"/>
    <w:rsid w:val="00580FF7"/>
    <w:rsid w:val="005829C8"/>
    <w:rsid w:val="00585732"/>
    <w:rsid w:val="005913F8"/>
    <w:rsid w:val="00595854"/>
    <w:rsid w:val="005A1F01"/>
    <w:rsid w:val="005A59D0"/>
    <w:rsid w:val="005C3A28"/>
    <w:rsid w:val="005C5991"/>
    <w:rsid w:val="006101AF"/>
    <w:rsid w:val="006135D4"/>
    <w:rsid w:val="006139B0"/>
    <w:rsid w:val="00621C49"/>
    <w:rsid w:val="0062743C"/>
    <w:rsid w:val="0063136C"/>
    <w:rsid w:val="006326AF"/>
    <w:rsid w:val="00643377"/>
    <w:rsid w:val="00644023"/>
    <w:rsid w:val="006464EC"/>
    <w:rsid w:val="00660437"/>
    <w:rsid w:val="00680302"/>
    <w:rsid w:val="006A543C"/>
    <w:rsid w:val="006B5015"/>
    <w:rsid w:val="006C14EE"/>
    <w:rsid w:val="006C6B8B"/>
    <w:rsid w:val="006E07BB"/>
    <w:rsid w:val="006F18E4"/>
    <w:rsid w:val="00725E8E"/>
    <w:rsid w:val="00770387"/>
    <w:rsid w:val="00787D34"/>
    <w:rsid w:val="00792499"/>
    <w:rsid w:val="00795E7F"/>
    <w:rsid w:val="007A563B"/>
    <w:rsid w:val="007B0FB9"/>
    <w:rsid w:val="007B583C"/>
    <w:rsid w:val="007C64E4"/>
    <w:rsid w:val="007E6C97"/>
    <w:rsid w:val="007E7BBC"/>
    <w:rsid w:val="007F656E"/>
    <w:rsid w:val="008028A6"/>
    <w:rsid w:val="00806CB7"/>
    <w:rsid w:val="00817455"/>
    <w:rsid w:val="0082496D"/>
    <w:rsid w:val="008319C4"/>
    <w:rsid w:val="00846112"/>
    <w:rsid w:val="008670EC"/>
    <w:rsid w:val="008826EC"/>
    <w:rsid w:val="00886463"/>
    <w:rsid w:val="008A5A6F"/>
    <w:rsid w:val="008B7F5D"/>
    <w:rsid w:val="008C3142"/>
    <w:rsid w:val="008C3782"/>
    <w:rsid w:val="008D1CA4"/>
    <w:rsid w:val="008D57CC"/>
    <w:rsid w:val="008E21D1"/>
    <w:rsid w:val="008E55A6"/>
    <w:rsid w:val="008F66FC"/>
    <w:rsid w:val="00901F6B"/>
    <w:rsid w:val="009047F4"/>
    <w:rsid w:val="009315B0"/>
    <w:rsid w:val="009324F0"/>
    <w:rsid w:val="0094080B"/>
    <w:rsid w:val="00954502"/>
    <w:rsid w:val="0097593D"/>
    <w:rsid w:val="00992194"/>
    <w:rsid w:val="00996595"/>
    <w:rsid w:val="009968F6"/>
    <w:rsid w:val="009B4D47"/>
    <w:rsid w:val="009C56D4"/>
    <w:rsid w:val="009D324E"/>
    <w:rsid w:val="009E53CD"/>
    <w:rsid w:val="009F6249"/>
    <w:rsid w:val="00A0647A"/>
    <w:rsid w:val="00A12E85"/>
    <w:rsid w:val="00A34BF8"/>
    <w:rsid w:val="00A35D42"/>
    <w:rsid w:val="00A45970"/>
    <w:rsid w:val="00A4657A"/>
    <w:rsid w:val="00A6139D"/>
    <w:rsid w:val="00A622C5"/>
    <w:rsid w:val="00A635B5"/>
    <w:rsid w:val="00A81D6E"/>
    <w:rsid w:val="00A9359C"/>
    <w:rsid w:val="00AC5A54"/>
    <w:rsid w:val="00AE13B6"/>
    <w:rsid w:val="00AF76FE"/>
    <w:rsid w:val="00B11CB6"/>
    <w:rsid w:val="00B137F1"/>
    <w:rsid w:val="00B2698B"/>
    <w:rsid w:val="00B56FAC"/>
    <w:rsid w:val="00B71F19"/>
    <w:rsid w:val="00B744C8"/>
    <w:rsid w:val="00B75137"/>
    <w:rsid w:val="00B778A8"/>
    <w:rsid w:val="00B84D35"/>
    <w:rsid w:val="00BA1A94"/>
    <w:rsid w:val="00BA3B15"/>
    <w:rsid w:val="00BB5D2C"/>
    <w:rsid w:val="00BC613C"/>
    <w:rsid w:val="00BD3075"/>
    <w:rsid w:val="00BD6F4A"/>
    <w:rsid w:val="00BE04E8"/>
    <w:rsid w:val="00BF0BC9"/>
    <w:rsid w:val="00BF0CAF"/>
    <w:rsid w:val="00BF0F14"/>
    <w:rsid w:val="00C20AD6"/>
    <w:rsid w:val="00C21BCE"/>
    <w:rsid w:val="00C30575"/>
    <w:rsid w:val="00C314CD"/>
    <w:rsid w:val="00C352A1"/>
    <w:rsid w:val="00C440DE"/>
    <w:rsid w:val="00C47BD1"/>
    <w:rsid w:val="00C54FFC"/>
    <w:rsid w:val="00C569FC"/>
    <w:rsid w:val="00C66C68"/>
    <w:rsid w:val="00C806D0"/>
    <w:rsid w:val="00C869A4"/>
    <w:rsid w:val="00CA7333"/>
    <w:rsid w:val="00CB500A"/>
    <w:rsid w:val="00CE595E"/>
    <w:rsid w:val="00CF6D93"/>
    <w:rsid w:val="00D05E9C"/>
    <w:rsid w:val="00D30F71"/>
    <w:rsid w:val="00D6460A"/>
    <w:rsid w:val="00D735E6"/>
    <w:rsid w:val="00D75223"/>
    <w:rsid w:val="00D8092C"/>
    <w:rsid w:val="00D9663B"/>
    <w:rsid w:val="00DB26C9"/>
    <w:rsid w:val="00DE557D"/>
    <w:rsid w:val="00DF0D90"/>
    <w:rsid w:val="00E129B3"/>
    <w:rsid w:val="00E3552B"/>
    <w:rsid w:val="00E3680B"/>
    <w:rsid w:val="00E4146C"/>
    <w:rsid w:val="00E565C2"/>
    <w:rsid w:val="00E60E22"/>
    <w:rsid w:val="00E84141"/>
    <w:rsid w:val="00E9082A"/>
    <w:rsid w:val="00EA180E"/>
    <w:rsid w:val="00EB7257"/>
    <w:rsid w:val="00EC077E"/>
    <w:rsid w:val="00EC693E"/>
    <w:rsid w:val="00ED596C"/>
    <w:rsid w:val="00EE13D2"/>
    <w:rsid w:val="00EF33C1"/>
    <w:rsid w:val="00F00C05"/>
    <w:rsid w:val="00F17816"/>
    <w:rsid w:val="00F43F18"/>
    <w:rsid w:val="00F61D97"/>
    <w:rsid w:val="00F71FA7"/>
    <w:rsid w:val="00F844B4"/>
    <w:rsid w:val="00FA2048"/>
    <w:rsid w:val="00FA7D0F"/>
    <w:rsid w:val="00FB3865"/>
    <w:rsid w:val="00FB6904"/>
    <w:rsid w:val="00FC60A9"/>
    <w:rsid w:val="00FD3590"/>
    <w:rsid w:val="00FD4C39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8C33D3"/>
  <w15:chartTrackingRefBased/>
  <w15:docId w15:val="{A33876C6-A782-4903-A52E-8C9DD76F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32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9E53CD"/>
    <w:pPr>
      <w:keepNext/>
      <w:outlineLvl w:val="0"/>
    </w:pPr>
    <w:rPr>
      <w:sz w:val="36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53CD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857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AC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575"/>
  </w:style>
  <w:style w:type="character" w:customStyle="1" w:styleId="FuzeileZchn">
    <w:name w:val="Fußzeile Zchn"/>
    <w:link w:val="Fuzeile"/>
    <w:uiPriority w:val="99"/>
    <w:rsid w:val="006C6B8B"/>
    <w:rPr>
      <w:sz w:val="24"/>
      <w:szCs w:val="24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0D9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F0D90"/>
    <w:rPr>
      <w:lang w:val="fr-FR" w:eastAsia="fr-FR"/>
    </w:rPr>
  </w:style>
  <w:style w:type="character" w:styleId="Funotenzeichen">
    <w:name w:val="footnote reference"/>
    <w:uiPriority w:val="99"/>
    <w:semiHidden/>
    <w:unhideWhenUsed/>
    <w:rsid w:val="00DF0D9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C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1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613C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613C"/>
    <w:rPr>
      <w:b/>
      <w:bCs/>
      <w:lang w:val="fr-FR" w:eastAsia="fr-FR"/>
    </w:rPr>
  </w:style>
  <w:style w:type="character" w:styleId="Hyperlink">
    <w:name w:val="Hyperlink"/>
    <w:uiPriority w:val="99"/>
    <w:rsid w:val="007B583C"/>
    <w:rPr>
      <w:rFonts w:cs="Times New Roman"/>
      <w:color w:val="0000FF"/>
      <w:u w:val="single"/>
    </w:rPr>
  </w:style>
  <w:style w:type="paragraph" w:customStyle="1" w:styleId="Default">
    <w:name w:val="Default"/>
    <w:rsid w:val="00366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6AbsAufz-eing">
    <w:name w:val="06AbsAufz - eing"/>
    <w:basedOn w:val="Standard"/>
    <w:rsid w:val="00E60E22"/>
    <w:pPr>
      <w:numPr>
        <w:numId w:val="15"/>
      </w:numPr>
      <w:spacing w:before="120" w:after="100" w:afterAutospacing="1" w:line="264" w:lineRule="auto"/>
      <w:jc w:val="both"/>
    </w:pPr>
    <w:rPr>
      <w:kern w:val="24"/>
      <w:sz w:val="20"/>
      <w:szCs w:val="20"/>
      <w:lang w:val="de-CH" w:eastAsia="de-CH"/>
    </w:rPr>
  </w:style>
  <w:style w:type="character" w:styleId="BesuchterLink">
    <w:name w:val="FollowedHyperlink"/>
    <w:uiPriority w:val="99"/>
    <w:semiHidden/>
    <w:unhideWhenUsed/>
    <w:rsid w:val="002076E8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5C599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78A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tf-gafi.org/en/countries.html" TargetMode="External"/><Relationship Id="rId1" Type="http://schemas.openxmlformats.org/officeDocument/2006/relationships/hyperlink" Target="https://www.fatf-gafi.org/en/count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32CA-7B92-4366-9BEF-0FAD519F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d’évaluation des relations d’affaires et des transactions</vt:lpstr>
      <vt:lpstr>Fiche d’évaluation des relations d’affaires et des transactions</vt:lpstr>
    </vt:vector>
  </TitlesOfParts>
  <Company>Staiger. Schwald &amp; Partner</Company>
  <LinksUpToDate>false</LinksUpToDate>
  <CharactersWithSpaces>4803</CharactersWithSpaces>
  <SharedDoc>false</SharedDoc>
  <HLinks>
    <vt:vector size="12" baseType="variant">
      <vt:variant>
        <vt:i4>3014706</vt:i4>
      </vt:variant>
      <vt:variant>
        <vt:i4>3</vt:i4>
      </vt:variant>
      <vt:variant>
        <vt:i4>0</vt:i4>
      </vt:variant>
      <vt:variant>
        <vt:i4>5</vt:i4>
      </vt:variant>
      <vt:variant>
        <vt:lpwstr>https://www.fatf-gafi.org/en/countries.html</vt:lpwstr>
      </vt:variant>
      <vt:variant>
        <vt:lpwstr>high-risk</vt:lpwstr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https://www.fatf-gafi.org/en/countries.html</vt:lpwstr>
      </vt:variant>
      <vt:variant>
        <vt:lpwstr>high-risk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des relations d’affaires et des transactions</dc:title>
  <dc:subject/>
  <dc:creator>SRO</dc:creator>
  <cp:keywords/>
  <cp:lastModifiedBy>Merita Nevzadi SRO SAV/SNV</cp:lastModifiedBy>
  <cp:revision>4</cp:revision>
  <cp:lastPrinted>2018-07-18T09:11:00Z</cp:lastPrinted>
  <dcterms:created xsi:type="dcterms:W3CDTF">2024-03-18T08:18:00Z</dcterms:created>
  <dcterms:modified xsi:type="dcterms:W3CDTF">2024-03-18T08:22:00Z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-845983566</vt:i4>
  </property>
  <property fmtid="{D5CDD505-2E9C-101B-9397-08002B2CF9AE}" pid="3" name="_NewReviewCycle">
    <vt:lpwstr/>
  </property>
  <property fmtid="{D5CDD505-2E9C-101B-9397-08002B2CF9AE}" pid="4" name="_EmailSubject">
    <vt:lpwstr>Überprüfung übersetztes Dokument</vt:lpwstr>
  </property>
  <property fmtid="{D5CDD505-2E9C-101B-9397-08002B2CF9AE}" pid="5" name="_AuthorEmail">
    <vt:lpwstr>olivier.nicod@walderwyss.com</vt:lpwstr>
  </property>
  <property fmtid="{D5CDD505-2E9C-101B-9397-08002B2CF9AE}" pid="6" name="_AuthorEmailDisplayName">
    <vt:lpwstr>Nicod Olivier</vt:lpwstr>
  </property>
  <property fmtid="{D5CDD505-2E9C-101B-9397-08002B2CF9AE}" pid="7" name="_PreviousAdHocReviewCycleID">
    <vt:i4>1291793154</vt:i4>
  </property>
  <property fmtid="{D5CDD505-2E9C-101B-9397-08002B2CF9AE}" pid="8" name="_ReviewingToolsShownOnce">
    <vt:lpwstr/>
  </property>
</Properties>
</file>