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1079" w14:textId="77777777" w:rsidR="00F00C05" w:rsidRPr="00180BB8" w:rsidRDefault="007E7BBC" w:rsidP="009E53CD">
      <w:pPr>
        <w:pStyle w:val="berschrift1"/>
        <w:spacing w:line="360" w:lineRule="auto"/>
        <w:rPr>
          <w:rFonts w:ascii="Arial" w:hAnsi="Arial" w:cs="Arial"/>
          <w:b/>
          <w:bCs/>
          <w:caps/>
          <w:spacing w:val="-10"/>
          <w:sz w:val="32"/>
          <w:szCs w:val="32"/>
        </w:rPr>
      </w:pPr>
      <w:r w:rsidRPr="00180BB8">
        <w:rPr>
          <w:rFonts w:ascii="Arial" w:hAnsi="Arial" w:cs="Arial"/>
          <w:b/>
          <w:bCs/>
          <w:caps/>
          <w:spacing w:val="-10"/>
          <w:sz w:val="32"/>
          <w:szCs w:val="32"/>
        </w:rPr>
        <w:t xml:space="preserve">Classification </w:t>
      </w:r>
      <w:r w:rsidR="00E74371">
        <w:rPr>
          <w:rFonts w:ascii="Arial" w:hAnsi="Arial" w:cs="Arial"/>
          <w:b/>
          <w:bCs/>
          <w:caps/>
          <w:spacing w:val="-10"/>
          <w:sz w:val="32"/>
          <w:szCs w:val="32"/>
        </w:rPr>
        <w:t>DES RISQUES</w:t>
      </w:r>
    </w:p>
    <w:p w14:paraId="289DC0C9" w14:textId="77777777" w:rsidR="00F00C05" w:rsidRPr="00A638D5" w:rsidRDefault="00F00C05" w:rsidP="009E53CD">
      <w:pPr>
        <w:rPr>
          <w:rFonts w:ascii="Arial" w:hAnsi="Arial" w:cs="Arial"/>
          <w:b/>
          <w:sz w:val="22"/>
          <w:szCs w:val="22"/>
          <w:u w:val="single"/>
        </w:rPr>
      </w:pPr>
    </w:p>
    <w:p w14:paraId="46F995CB" w14:textId="77777777" w:rsidR="00F00C05" w:rsidRPr="00A638D5" w:rsidRDefault="00412322" w:rsidP="00F96BC9">
      <w:pPr>
        <w:jc w:val="both"/>
        <w:rPr>
          <w:rFonts w:ascii="Arial" w:hAnsi="Arial" w:cs="Arial"/>
          <w:sz w:val="22"/>
          <w:szCs w:val="22"/>
        </w:rPr>
      </w:pPr>
      <w:r>
        <w:rPr>
          <w:rFonts w:ascii="Arial" w:hAnsi="Arial" w:cs="Arial"/>
          <w:sz w:val="22"/>
          <w:szCs w:val="22"/>
        </w:rPr>
        <w:t>Critères permettant d'identifier les relations d’affaires présentant un « risque accru » selon les directives internes de l’intermédiaire financier affilié. Une relation d’affaires est réputée présenter un « risque accru » si un (*) ou plusieurs des critères suivants sont remplis :</w:t>
      </w:r>
    </w:p>
    <w:p w14:paraId="6FF45E1E" w14:textId="77777777" w:rsidR="00D9663B" w:rsidRPr="00A638D5" w:rsidRDefault="00D9663B" w:rsidP="009E53CD">
      <w:pPr>
        <w:rPr>
          <w:rFonts w:ascii="Arial" w:hAnsi="Arial" w:cs="Arial"/>
          <w:sz w:val="22"/>
          <w:szCs w:val="22"/>
        </w:rPr>
      </w:pPr>
    </w:p>
    <w:p w14:paraId="0CCB88C8" w14:textId="77777777" w:rsidR="00F00C05" w:rsidRPr="00A638D5" w:rsidRDefault="0053555B" w:rsidP="009E53CD">
      <w:pPr>
        <w:pStyle w:val="Kopfzeile"/>
        <w:tabs>
          <w:tab w:val="clear" w:pos="4536"/>
          <w:tab w:val="clear" w:pos="9072"/>
        </w:tabs>
        <w:rPr>
          <w:rFonts w:ascii="Arial" w:hAnsi="Arial"/>
          <w:b/>
          <w:smallCaps/>
          <w:kern w:val="28"/>
          <w:sz w:val="28"/>
        </w:rPr>
      </w:pPr>
      <w:r>
        <w:rPr>
          <w:rFonts w:ascii="Arial" w:hAnsi="Arial"/>
          <w:b/>
          <w:smallCaps/>
          <w:kern w:val="28"/>
          <w:sz w:val="28"/>
        </w:rPr>
        <w:t>Relation d’affaires :</w:t>
      </w:r>
      <w:r w:rsidR="003A15FF">
        <w:rPr>
          <w:rFonts w:ascii="Arial" w:hAnsi="Arial"/>
          <w:b/>
          <w:smallCaps/>
          <w:kern w:val="28"/>
          <w:sz w:val="28"/>
        </w:rPr>
        <w:tab/>
      </w:r>
      <w:r w:rsidR="003A15FF">
        <w:rPr>
          <w:rFonts w:ascii="Arial" w:hAnsi="Arial"/>
          <w:b/>
          <w:smallCaps/>
          <w:kern w:val="28"/>
          <w:sz w:val="28"/>
        </w:rPr>
        <w:tab/>
      </w:r>
      <w:r w:rsidR="000723F9">
        <w:rPr>
          <w:rFonts w:ascii="Arial" w:hAnsi="Arial"/>
          <w:b/>
          <w:smallCaps/>
          <w:kern w:val="28"/>
          <w:sz w:val="28"/>
        </w:rPr>
        <w:t xml:space="preserve"> _____________</w:t>
      </w:r>
      <w:r w:rsidR="003A15FF">
        <w:rPr>
          <w:rFonts w:ascii="Arial" w:hAnsi="Arial"/>
          <w:b/>
          <w:smallCaps/>
          <w:kern w:val="28"/>
          <w:sz w:val="28"/>
        </w:rPr>
        <w:t>____________</w:t>
      </w:r>
      <w:r w:rsidR="003A15FF">
        <w:rPr>
          <w:rFonts w:ascii="Arial" w:hAnsi="Arial"/>
          <w:b/>
          <w:smallCaps/>
          <w:kern w:val="28"/>
          <w:sz w:val="28"/>
        </w:rPr>
        <w:tab/>
      </w:r>
    </w:p>
    <w:p w14:paraId="774B1913" w14:textId="77777777" w:rsidR="006C6B8B" w:rsidRPr="00A638D5" w:rsidRDefault="006C6B8B" w:rsidP="009E53CD">
      <w:pPr>
        <w:pStyle w:val="Kopfzeile"/>
        <w:tabs>
          <w:tab w:val="clear" w:pos="4536"/>
          <w:tab w:val="clear" w:pos="9072"/>
        </w:tabs>
        <w:rPr>
          <w:rFonts w:ascii="Arial" w:hAnsi="Arial"/>
          <w:b/>
          <w:smallCaps/>
          <w:kern w:val="28"/>
          <w:sz w:val="28"/>
        </w:rPr>
      </w:pPr>
      <w:r>
        <w:rPr>
          <w:rFonts w:ascii="Arial" w:hAnsi="Arial"/>
          <w:b/>
          <w:smallCaps/>
          <w:kern w:val="28"/>
          <w:sz w:val="28"/>
        </w:rPr>
        <w:t xml:space="preserve">Numéro </w:t>
      </w:r>
      <w:r w:rsidR="000723F9">
        <w:rPr>
          <w:rFonts w:ascii="Arial" w:hAnsi="Arial"/>
          <w:b/>
          <w:smallCaps/>
          <w:kern w:val="28"/>
          <w:sz w:val="28"/>
        </w:rPr>
        <w:t>de dossier lba</w:t>
      </w:r>
      <w:r>
        <w:rPr>
          <w:rFonts w:ascii="Arial" w:hAnsi="Arial"/>
          <w:b/>
          <w:smallCaps/>
          <w:kern w:val="28"/>
          <w:sz w:val="28"/>
        </w:rPr>
        <w:t> :</w:t>
      </w:r>
      <w:r w:rsidR="003A15FF">
        <w:rPr>
          <w:rFonts w:ascii="Arial" w:hAnsi="Arial"/>
          <w:b/>
          <w:smallCaps/>
          <w:kern w:val="28"/>
          <w:sz w:val="28"/>
        </w:rPr>
        <w:tab/>
      </w:r>
      <w:r w:rsidR="000723F9">
        <w:rPr>
          <w:rFonts w:ascii="Arial" w:hAnsi="Arial"/>
          <w:b/>
          <w:smallCaps/>
          <w:kern w:val="28"/>
          <w:sz w:val="28"/>
        </w:rPr>
        <w:t xml:space="preserve"> _____________</w:t>
      </w:r>
      <w:r w:rsidR="003A15FF">
        <w:rPr>
          <w:rFonts w:ascii="Arial" w:hAnsi="Arial"/>
          <w:b/>
          <w:smallCaps/>
          <w:kern w:val="28"/>
          <w:sz w:val="28"/>
        </w:rPr>
        <w:t>____________</w:t>
      </w:r>
      <w:r w:rsidR="003A15FF">
        <w:rPr>
          <w:rFonts w:ascii="Arial" w:hAnsi="Arial"/>
          <w:b/>
          <w:smallCaps/>
          <w:kern w:val="28"/>
          <w:sz w:val="28"/>
        </w:rPr>
        <w:tab/>
      </w:r>
    </w:p>
    <w:p w14:paraId="170DE57E" w14:textId="77777777" w:rsidR="00520AA3" w:rsidRPr="00A638D5" w:rsidRDefault="00520AA3" w:rsidP="009E53CD">
      <w:pPr>
        <w:pStyle w:val="Kopfzeile"/>
        <w:tabs>
          <w:tab w:val="clear" w:pos="4536"/>
          <w:tab w:val="clear" w:pos="9072"/>
        </w:tabs>
        <w:rPr>
          <w:rFonts w:ascii="Arial" w:hAnsi="Arial"/>
          <w:b/>
          <w:smallCaps/>
          <w:kern w:val="28"/>
          <w:sz w:val="28"/>
        </w:rPr>
      </w:pPr>
    </w:p>
    <w:p w14:paraId="0B29C25B" w14:textId="77777777" w:rsidR="00520AA3" w:rsidRPr="000900E6" w:rsidRDefault="00520AA3" w:rsidP="009E53CD">
      <w:pPr>
        <w:pStyle w:val="Kopfzeile"/>
        <w:tabs>
          <w:tab w:val="clear" w:pos="4536"/>
          <w:tab w:val="clear" w:pos="9072"/>
        </w:tabs>
        <w:rPr>
          <w:rFonts w:ascii="Arial" w:hAnsi="Arial"/>
          <w:b/>
          <w:smallCaps/>
          <w:kern w:val="28"/>
          <w:sz w:val="28"/>
        </w:rPr>
      </w:pPr>
      <w:r>
        <w:rPr>
          <w:rFonts w:ascii="Arial" w:hAnsi="Arial"/>
          <w:b/>
          <w:smallCaps/>
          <w:kern w:val="28"/>
          <w:sz w:val="28"/>
        </w:rPr>
        <w:t>Concernant la relation d’affaires :</w:t>
      </w:r>
    </w:p>
    <w:p w14:paraId="5C11DDA5" w14:textId="77777777" w:rsidR="009E53CD" w:rsidRPr="000900E6" w:rsidRDefault="009E53CD" w:rsidP="00F00C05">
      <w:pPr>
        <w:rPr>
          <w:rFonts w:ascii="Arial" w:hAnsi="Arial" w:cs="Arial"/>
          <w:sz w:val="22"/>
          <w:szCs w:val="22"/>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0"/>
        <w:gridCol w:w="1620"/>
      </w:tblGrid>
      <w:tr w:rsidR="007212C5" w:rsidRPr="000A17A8" w14:paraId="1B8729C3" w14:textId="77777777" w:rsidTr="008E55A6">
        <w:tc>
          <w:tcPr>
            <w:tcW w:w="7920" w:type="dxa"/>
          </w:tcPr>
          <w:p w14:paraId="3470F2CF" w14:textId="77777777" w:rsidR="007212C5" w:rsidRPr="00737D45" w:rsidRDefault="00737D45" w:rsidP="007212C5">
            <w:pPr>
              <w:pStyle w:val="Kopfzeile"/>
              <w:tabs>
                <w:tab w:val="clear" w:pos="4536"/>
                <w:tab w:val="clear" w:pos="9072"/>
              </w:tabs>
              <w:spacing w:before="120" w:after="120"/>
              <w:jc w:val="both"/>
              <w:rPr>
                <w:rFonts w:ascii="Arial" w:hAnsi="Arial" w:cs="Arial"/>
                <w:b/>
                <w:sz w:val="22"/>
                <w:szCs w:val="22"/>
              </w:rPr>
            </w:pPr>
            <w:r w:rsidRPr="00737D45">
              <w:rPr>
                <w:rFonts w:ascii="Arial" w:hAnsi="Arial" w:cs="Arial"/>
                <w:b/>
                <w:sz w:val="22"/>
                <w:szCs w:val="22"/>
              </w:rPr>
              <w:t>Risque obligatoirement accru</w:t>
            </w:r>
          </w:p>
        </w:tc>
        <w:tc>
          <w:tcPr>
            <w:tcW w:w="1620" w:type="dxa"/>
            <w:vAlign w:val="bottom"/>
          </w:tcPr>
          <w:p w14:paraId="6C1FD04E" w14:textId="77777777" w:rsidR="007212C5" w:rsidRDefault="007212C5" w:rsidP="00BA1A94">
            <w:pPr>
              <w:pStyle w:val="Kopfzeile"/>
              <w:tabs>
                <w:tab w:val="clear" w:pos="4536"/>
                <w:tab w:val="clear" w:pos="9072"/>
                <w:tab w:val="left" w:pos="567"/>
              </w:tabs>
              <w:spacing w:before="120" w:after="120"/>
              <w:rPr>
                <w:rFonts w:ascii="Arial" w:hAnsi="Arial" w:cs="Arial"/>
                <w:sz w:val="22"/>
              </w:rPr>
            </w:pPr>
          </w:p>
        </w:tc>
      </w:tr>
      <w:tr w:rsidR="006C6B8B" w:rsidRPr="000A17A8" w14:paraId="37A27A8C" w14:textId="77777777" w:rsidTr="008E55A6">
        <w:tc>
          <w:tcPr>
            <w:tcW w:w="7920" w:type="dxa"/>
          </w:tcPr>
          <w:p w14:paraId="2B59E732" w14:textId="77777777" w:rsidR="006C6B8B" w:rsidRPr="00A638D5" w:rsidRDefault="00DF0D90" w:rsidP="00B13872">
            <w:pPr>
              <w:pStyle w:val="Kopfzeile"/>
              <w:numPr>
                <w:ilvl w:val="0"/>
                <w:numId w:val="6"/>
              </w:numPr>
              <w:tabs>
                <w:tab w:val="clear" w:pos="4536"/>
                <w:tab w:val="clear" w:pos="9072"/>
              </w:tabs>
              <w:spacing w:before="120" w:after="120"/>
              <w:ind w:left="356" w:hanging="356"/>
              <w:rPr>
                <w:rFonts w:ascii="Arial" w:hAnsi="Arial" w:cs="Arial"/>
                <w:sz w:val="22"/>
                <w:szCs w:val="22"/>
              </w:rPr>
            </w:pPr>
            <w:bookmarkStart w:id="0" w:name="_Ref132205126"/>
            <w:r>
              <w:rPr>
                <w:rFonts w:ascii="Arial" w:hAnsi="Arial" w:cs="Arial"/>
                <w:sz w:val="22"/>
                <w:szCs w:val="22"/>
              </w:rPr>
              <w:t>Le CC</w:t>
            </w:r>
            <w:r>
              <w:rPr>
                <w:rStyle w:val="Funotenzeichen"/>
                <w:rFonts w:ascii="Arial" w:hAnsi="Arial" w:cs="Arial"/>
                <w:sz w:val="22"/>
                <w:szCs w:val="22"/>
              </w:rPr>
              <w:footnoteReference w:id="1"/>
            </w:r>
            <w:r>
              <w:rPr>
                <w:rFonts w:ascii="Arial" w:hAnsi="Arial" w:cs="Arial"/>
                <w:sz w:val="22"/>
                <w:szCs w:val="22"/>
              </w:rPr>
              <w:t xml:space="preserve">/ADE/DC/fondé de procuration est une PEP (nationale ou </w:t>
            </w:r>
            <w:r w:rsidR="007816A6">
              <w:rPr>
                <w:rFonts w:ascii="Arial" w:hAnsi="Arial" w:cs="Arial"/>
                <w:sz w:val="22"/>
                <w:szCs w:val="22"/>
              </w:rPr>
              <w:t>étrangère</w:t>
            </w:r>
            <w:r>
              <w:rPr>
                <w:rFonts w:ascii="Arial" w:hAnsi="Arial" w:cs="Arial"/>
                <w:sz w:val="22"/>
                <w:szCs w:val="22"/>
              </w:rPr>
              <w:t>*</w:t>
            </w:r>
            <w:r>
              <w:rPr>
                <w:rStyle w:val="Funotenzeichen"/>
                <w:rFonts w:ascii="Arial" w:hAnsi="Arial" w:cs="Arial"/>
                <w:sz w:val="22"/>
                <w:szCs w:val="22"/>
              </w:rPr>
              <w:footnoteReference w:id="2"/>
            </w:r>
            <w:r>
              <w:rPr>
                <w:rFonts w:ascii="Arial" w:hAnsi="Arial" w:cs="Arial"/>
                <w:sz w:val="22"/>
                <w:szCs w:val="22"/>
              </w:rPr>
              <w:t>)</w:t>
            </w:r>
            <w:r w:rsidR="007816A6">
              <w:rPr>
                <w:rFonts w:ascii="Arial" w:hAnsi="Arial" w:cs="Arial"/>
                <w:sz w:val="22"/>
                <w:szCs w:val="22"/>
              </w:rPr>
              <w:t xml:space="preserve"> ou une personne qui lui est proche</w:t>
            </w:r>
            <w:bookmarkEnd w:id="0"/>
          </w:p>
        </w:tc>
        <w:tc>
          <w:tcPr>
            <w:tcW w:w="1620" w:type="dxa"/>
            <w:vAlign w:val="bottom"/>
          </w:tcPr>
          <w:p w14:paraId="33073C56" w14:textId="77777777" w:rsidR="006C6B8B" w:rsidRPr="000A17A8" w:rsidRDefault="006C6B8B" w:rsidP="00BA1A94">
            <w:pPr>
              <w:pStyle w:val="Kopfzeile"/>
              <w:tabs>
                <w:tab w:val="clear" w:pos="4536"/>
                <w:tab w:val="clear" w:pos="9072"/>
                <w:tab w:val="left" w:pos="567"/>
              </w:tabs>
              <w:spacing w:before="120" w:after="120"/>
              <w:rPr>
                <w:rFonts w:ascii="Arial" w:hAnsi="Arial" w:cs="Arial"/>
                <w:sz w:val="22"/>
                <w:lang w:val="de-CH"/>
              </w:rPr>
            </w:pPr>
            <w:r>
              <w:rPr>
                <w:rFonts w:ascii="Arial" w:hAnsi="Arial" w:cs="Arial"/>
                <w:sz w:val="22"/>
              </w:rPr>
              <w:t>oui □     non □</w:t>
            </w:r>
          </w:p>
        </w:tc>
      </w:tr>
      <w:tr w:rsidR="00F96BC9" w14:paraId="5FEC89BF" w14:textId="77777777" w:rsidTr="00FA5B5A">
        <w:tc>
          <w:tcPr>
            <w:tcW w:w="7920" w:type="dxa"/>
          </w:tcPr>
          <w:p w14:paraId="6F441563" w14:textId="77777777" w:rsidR="00F96BC9" w:rsidRDefault="00F96BC9" w:rsidP="00FA5B5A">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Le CC/ADE/DC/fondé de procuration est une PEP exerçant une fonction dirigeante au sein d’une organisation intergouvernementale ou une personne qui lui est proche</w:t>
            </w:r>
            <w:r>
              <w:rPr>
                <w:rStyle w:val="Funotenzeichen"/>
                <w:rFonts w:ascii="Arial" w:hAnsi="Arial" w:cs="Arial"/>
                <w:sz w:val="22"/>
                <w:szCs w:val="22"/>
              </w:rPr>
              <w:footnoteReference w:id="3"/>
            </w:r>
          </w:p>
        </w:tc>
        <w:tc>
          <w:tcPr>
            <w:tcW w:w="1620" w:type="dxa"/>
            <w:vAlign w:val="bottom"/>
          </w:tcPr>
          <w:p w14:paraId="21F57093" w14:textId="77777777" w:rsidR="00F96BC9" w:rsidRDefault="00F96BC9" w:rsidP="00B13872">
            <w:pPr>
              <w:pStyle w:val="Kopfzeile"/>
              <w:tabs>
                <w:tab w:val="clear" w:pos="4536"/>
                <w:tab w:val="clear" w:pos="9072"/>
                <w:tab w:val="left" w:pos="567"/>
              </w:tabs>
              <w:spacing w:before="120" w:after="120"/>
              <w:jc w:val="both"/>
              <w:rPr>
                <w:rFonts w:ascii="Arial" w:hAnsi="Arial" w:cs="Arial"/>
                <w:sz w:val="22"/>
                <w:szCs w:val="22"/>
              </w:rPr>
            </w:pPr>
            <w:r>
              <w:rPr>
                <w:rFonts w:ascii="Arial" w:hAnsi="Arial" w:cs="Arial"/>
                <w:sz w:val="22"/>
                <w:szCs w:val="22"/>
              </w:rPr>
              <w:t>oui □     non □</w:t>
            </w:r>
          </w:p>
        </w:tc>
      </w:tr>
      <w:tr w:rsidR="00F96BC9" w14:paraId="5B8F2D88" w14:textId="77777777" w:rsidTr="00FA5B5A">
        <w:tc>
          <w:tcPr>
            <w:tcW w:w="7920" w:type="dxa"/>
          </w:tcPr>
          <w:p w14:paraId="106D5622" w14:textId="77777777" w:rsidR="00F96BC9" w:rsidRDefault="00F96BC9" w:rsidP="00FA5B5A">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Le CC/ADE/DC/fondé de procuration est une PEP exerçant une fonction dirigeante au sein d’une fédération sportive internationale ou une personne qui lui est proche</w:t>
            </w:r>
            <w:r>
              <w:rPr>
                <w:rStyle w:val="Funotenzeichen"/>
                <w:rFonts w:ascii="Arial" w:hAnsi="Arial" w:cs="Arial"/>
                <w:sz w:val="22"/>
                <w:szCs w:val="22"/>
              </w:rPr>
              <w:footnoteReference w:id="4"/>
            </w:r>
          </w:p>
        </w:tc>
        <w:tc>
          <w:tcPr>
            <w:tcW w:w="1620" w:type="dxa"/>
            <w:vAlign w:val="bottom"/>
          </w:tcPr>
          <w:p w14:paraId="4D8DFF7D" w14:textId="77777777" w:rsidR="00F96BC9" w:rsidRDefault="00F96BC9" w:rsidP="00B13872">
            <w:pPr>
              <w:pStyle w:val="Kopfzeile"/>
              <w:tabs>
                <w:tab w:val="clear" w:pos="4536"/>
                <w:tab w:val="clear" w:pos="9072"/>
                <w:tab w:val="left" w:pos="567"/>
              </w:tabs>
              <w:spacing w:before="120" w:after="120"/>
              <w:jc w:val="both"/>
              <w:rPr>
                <w:rFonts w:ascii="Arial" w:hAnsi="Arial" w:cs="Arial"/>
                <w:sz w:val="22"/>
                <w:szCs w:val="22"/>
              </w:rPr>
            </w:pPr>
            <w:r>
              <w:rPr>
                <w:rFonts w:ascii="Arial" w:hAnsi="Arial" w:cs="Arial"/>
                <w:sz w:val="22"/>
                <w:szCs w:val="22"/>
              </w:rPr>
              <w:t>oui □     non □</w:t>
            </w:r>
          </w:p>
        </w:tc>
      </w:tr>
      <w:tr w:rsidR="00722DE9" w:rsidRPr="008E55A6" w14:paraId="090A87DC" w14:textId="77777777" w:rsidTr="008E55A6">
        <w:tc>
          <w:tcPr>
            <w:tcW w:w="7920" w:type="dxa"/>
          </w:tcPr>
          <w:p w14:paraId="1ED2B36B" w14:textId="77777777" w:rsidR="00722DE9" w:rsidRPr="000900E6"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Le CC/ADE/DC/fondé de procuration réside dans un pays considéré comme « high risk » ou non coopératif par le GAFI et pour lequel ce dernier appelle à une diligence augmentée </w:t>
            </w:r>
          </w:p>
        </w:tc>
        <w:tc>
          <w:tcPr>
            <w:tcW w:w="1620" w:type="dxa"/>
            <w:vAlign w:val="bottom"/>
          </w:tcPr>
          <w:p w14:paraId="1439D0C3" w14:textId="77777777" w:rsidR="00722DE9" w:rsidRDefault="00722DE9" w:rsidP="00722DE9">
            <w:pPr>
              <w:pStyle w:val="Kopfzeile"/>
              <w:tabs>
                <w:tab w:val="clear" w:pos="4536"/>
                <w:tab w:val="clear" w:pos="9072"/>
                <w:tab w:val="left" w:pos="567"/>
              </w:tabs>
              <w:spacing w:before="120" w:after="120"/>
              <w:jc w:val="both"/>
              <w:rPr>
                <w:rFonts w:ascii="Arial" w:hAnsi="Arial" w:cs="Arial"/>
                <w:sz w:val="22"/>
                <w:szCs w:val="22"/>
              </w:rPr>
            </w:pPr>
            <w:r>
              <w:rPr>
                <w:rFonts w:ascii="Arial" w:hAnsi="Arial" w:cs="Arial"/>
                <w:sz w:val="22"/>
                <w:szCs w:val="22"/>
              </w:rPr>
              <w:t>oui □     non □</w:t>
            </w:r>
          </w:p>
        </w:tc>
      </w:tr>
      <w:tr w:rsidR="00722DE9" w:rsidRPr="008E55A6" w14:paraId="732C307B" w14:textId="77777777" w:rsidTr="008E55A6">
        <w:tc>
          <w:tcPr>
            <w:tcW w:w="7920" w:type="dxa"/>
          </w:tcPr>
          <w:p w14:paraId="740AAD2E" w14:textId="77777777" w:rsidR="00722DE9" w:rsidRPr="00737D45" w:rsidRDefault="00722DE9" w:rsidP="00722DE9">
            <w:pPr>
              <w:pStyle w:val="Kopfzeile"/>
              <w:tabs>
                <w:tab w:val="clear" w:pos="4536"/>
                <w:tab w:val="clear" w:pos="9072"/>
              </w:tabs>
              <w:spacing w:before="120" w:after="120"/>
              <w:jc w:val="both"/>
              <w:rPr>
                <w:rFonts w:ascii="Arial" w:hAnsi="Arial" w:cs="Arial"/>
                <w:b/>
                <w:sz w:val="22"/>
                <w:szCs w:val="22"/>
              </w:rPr>
            </w:pPr>
            <w:r w:rsidRPr="00737D45">
              <w:rPr>
                <w:rFonts w:ascii="Arial" w:hAnsi="Arial" w:cs="Arial"/>
                <w:b/>
                <w:sz w:val="22"/>
                <w:szCs w:val="22"/>
              </w:rPr>
              <w:t>Autres critères de risque élevé</w:t>
            </w:r>
          </w:p>
        </w:tc>
        <w:tc>
          <w:tcPr>
            <w:tcW w:w="1620" w:type="dxa"/>
            <w:vAlign w:val="bottom"/>
          </w:tcPr>
          <w:p w14:paraId="58A2A8A2" w14:textId="77777777" w:rsidR="00722DE9" w:rsidRDefault="00722DE9" w:rsidP="00722DE9">
            <w:pPr>
              <w:pStyle w:val="Kopfzeile"/>
              <w:tabs>
                <w:tab w:val="clear" w:pos="4536"/>
                <w:tab w:val="clear" w:pos="9072"/>
                <w:tab w:val="left" w:pos="567"/>
              </w:tabs>
              <w:spacing w:before="120" w:after="120"/>
              <w:rPr>
                <w:rFonts w:ascii="Arial" w:hAnsi="Arial" w:cs="Arial"/>
                <w:sz w:val="22"/>
                <w:szCs w:val="22"/>
              </w:rPr>
            </w:pPr>
          </w:p>
        </w:tc>
      </w:tr>
      <w:tr w:rsidR="00722DE9" w:rsidRPr="008E55A6" w14:paraId="42BDA3E3" w14:textId="77777777" w:rsidTr="008E55A6">
        <w:tc>
          <w:tcPr>
            <w:tcW w:w="7920" w:type="dxa"/>
          </w:tcPr>
          <w:p w14:paraId="014CD287" w14:textId="77777777" w:rsidR="00722DE9"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Le CC/ADE/DC/fondé de procuration a son siège ou son domicile dans un pays à risque selon le chiffre </w:t>
            </w:r>
            <w:r>
              <w:rPr>
                <w:rFonts w:ascii="Arial" w:hAnsi="Arial" w:cs="Arial"/>
                <w:sz w:val="22"/>
                <w:szCs w:val="22"/>
              </w:rPr>
              <w:fldChar w:fldCharType="begin">
                <w:ffData>
                  <w:name w:val="Text1"/>
                  <w:enabled/>
                  <w:calcOnExit w:val="0"/>
                  <w:textInput>
                    <w:default w:val="&lt;...&gt;"/>
                  </w:textInput>
                </w:ffData>
              </w:fldChar>
            </w:r>
            <w:r w:rsidRPr="00A638D5">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rPr>
                <w:rFonts w:ascii="Arial" w:hAnsi="Arial" w:cs="Arial"/>
                <w:sz w:val="22"/>
                <w:szCs w:val="22"/>
              </w:rPr>
              <w:t xml:space="preserve"> des directives internes</w:t>
            </w:r>
            <w:r w:rsidRPr="00264AFD">
              <w:rPr>
                <w:rFonts w:ascii="Arial" w:hAnsi="Arial" w:cs="Arial"/>
                <w:sz w:val="22"/>
                <w:szCs w:val="22"/>
                <w:vertAlign w:val="superscript"/>
              </w:rPr>
              <w:footnoteReference w:id="5"/>
            </w:r>
          </w:p>
        </w:tc>
        <w:tc>
          <w:tcPr>
            <w:tcW w:w="1620" w:type="dxa"/>
            <w:vAlign w:val="bottom"/>
          </w:tcPr>
          <w:p w14:paraId="7B35319F" w14:textId="77777777" w:rsidR="00722DE9" w:rsidRDefault="00722DE9" w:rsidP="00722DE9">
            <w:pPr>
              <w:pStyle w:val="Kopfzeile"/>
              <w:tabs>
                <w:tab w:val="clear" w:pos="4536"/>
                <w:tab w:val="clear" w:pos="9072"/>
                <w:tab w:val="left" w:pos="567"/>
              </w:tabs>
              <w:spacing w:before="120" w:after="120"/>
              <w:jc w:val="both"/>
              <w:rPr>
                <w:rFonts w:ascii="Arial" w:hAnsi="Arial" w:cs="Arial"/>
                <w:sz w:val="22"/>
                <w:szCs w:val="22"/>
              </w:rPr>
            </w:pPr>
            <w:r>
              <w:rPr>
                <w:rFonts w:ascii="Arial" w:hAnsi="Arial" w:cs="Arial"/>
                <w:sz w:val="22"/>
                <w:szCs w:val="22"/>
              </w:rPr>
              <w:t>oui □     non □</w:t>
            </w:r>
          </w:p>
        </w:tc>
      </w:tr>
      <w:tr w:rsidR="00722DE9" w:rsidRPr="008E55A6" w14:paraId="6033437F" w14:textId="77777777" w:rsidTr="008E55A6">
        <w:tc>
          <w:tcPr>
            <w:tcW w:w="7920" w:type="dxa"/>
          </w:tcPr>
          <w:p w14:paraId="00451BE7" w14:textId="77777777" w:rsidR="00722DE9"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N</w:t>
            </w:r>
            <w:r w:rsidRPr="00E74371">
              <w:rPr>
                <w:rFonts w:ascii="Arial" w:hAnsi="Arial" w:cs="Arial"/>
                <w:sz w:val="22"/>
                <w:szCs w:val="22"/>
              </w:rPr>
              <w:t xml:space="preserve">ationalité du </w:t>
            </w:r>
            <w:r>
              <w:rPr>
                <w:rFonts w:ascii="Arial" w:hAnsi="Arial" w:cs="Arial"/>
                <w:sz w:val="22"/>
                <w:szCs w:val="22"/>
              </w:rPr>
              <w:t>CC</w:t>
            </w:r>
            <w:r w:rsidRPr="00E74371">
              <w:rPr>
                <w:rFonts w:ascii="Arial" w:hAnsi="Arial" w:cs="Arial"/>
                <w:sz w:val="22"/>
                <w:szCs w:val="22"/>
              </w:rPr>
              <w:t>/</w:t>
            </w:r>
            <w:r>
              <w:rPr>
                <w:rFonts w:ascii="Arial" w:hAnsi="Arial" w:cs="Arial"/>
                <w:sz w:val="22"/>
                <w:szCs w:val="22"/>
              </w:rPr>
              <w:t>ADE</w:t>
            </w:r>
            <w:r w:rsidRPr="00E74371">
              <w:rPr>
                <w:rFonts w:ascii="Arial" w:hAnsi="Arial" w:cs="Arial"/>
                <w:sz w:val="22"/>
                <w:szCs w:val="22"/>
              </w:rPr>
              <w:t>/</w:t>
            </w:r>
            <w:r>
              <w:rPr>
                <w:rFonts w:ascii="Arial" w:hAnsi="Arial" w:cs="Arial"/>
                <w:sz w:val="22"/>
                <w:szCs w:val="22"/>
              </w:rPr>
              <w:t>DC</w:t>
            </w:r>
            <w:r w:rsidRPr="00E74371">
              <w:rPr>
                <w:rFonts w:ascii="Arial" w:hAnsi="Arial" w:cs="Arial"/>
                <w:sz w:val="22"/>
                <w:szCs w:val="22"/>
              </w:rPr>
              <w:t xml:space="preserve"> ou de l'agent d'un pays considéré comme </w:t>
            </w:r>
            <w:r>
              <w:rPr>
                <w:rFonts w:ascii="Arial" w:hAnsi="Arial" w:cs="Arial"/>
                <w:sz w:val="22"/>
                <w:szCs w:val="22"/>
              </w:rPr>
              <w:t>« </w:t>
            </w:r>
            <w:r w:rsidRPr="00E74371">
              <w:rPr>
                <w:rFonts w:ascii="Arial" w:hAnsi="Arial" w:cs="Arial"/>
                <w:sz w:val="22"/>
                <w:szCs w:val="22"/>
              </w:rPr>
              <w:t>à haut risque</w:t>
            </w:r>
            <w:r>
              <w:rPr>
                <w:rFonts w:ascii="Arial" w:hAnsi="Arial" w:cs="Arial"/>
                <w:sz w:val="22"/>
                <w:szCs w:val="22"/>
              </w:rPr>
              <w:t> »</w:t>
            </w:r>
            <w:r w:rsidRPr="00E74371">
              <w:rPr>
                <w:rFonts w:ascii="Arial" w:hAnsi="Arial" w:cs="Arial"/>
                <w:sz w:val="22"/>
                <w:szCs w:val="22"/>
              </w:rPr>
              <w:t xml:space="preserve"> ou non coopératif par le GAFI, qui appelle à une vigilance accrue à son égard</w:t>
            </w:r>
          </w:p>
        </w:tc>
        <w:tc>
          <w:tcPr>
            <w:tcW w:w="1620" w:type="dxa"/>
            <w:vAlign w:val="bottom"/>
          </w:tcPr>
          <w:p w14:paraId="764C17A0" w14:textId="77777777" w:rsidR="00722DE9" w:rsidRDefault="00722DE9" w:rsidP="00722DE9">
            <w:pPr>
              <w:pStyle w:val="Kopfzeile"/>
              <w:tabs>
                <w:tab w:val="clear" w:pos="4536"/>
                <w:tab w:val="clear" w:pos="9072"/>
                <w:tab w:val="left" w:pos="567"/>
              </w:tabs>
              <w:spacing w:before="120" w:after="120"/>
              <w:jc w:val="both"/>
              <w:rPr>
                <w:rFonts w:ascii="Arial" w:hAnsi="Arial" w:cs="Arial"/>
                <w:sz w:val="22"/>
                <w:szCs w:val="22"/>
              </w:rPr>
            </w:pPr>
            <w:r>
              <w:rPr>
                <w:rFonts w:ascii="Arial" w:hAnsi="Arial" w:cs="Arial"/>
                <w:sz w:val="22"/>
                <w:szCs w:val="22"/>
              </w:rPr>
              <w:t>oui □     non □</w:t>
            </w:r>
          </w:p>
        </w:tc>
      </w:tr>
      <w:tr w:rsidR="00722DE9" w:rsidRPr="008E55A6" w14:paraId="2836CAE2" w14:textId="77777777" w:rsidTr="008E55A6">
        <w:tc>
          <w:tcPr>
            <w:tcW w:w="7920" w:type="dxa"/>
          </w:tcPr>
          <w:p w14:paraId="29B1366E" w14:textId="77777777" w:rsidR="00722DE9" w:rsidRPr="000900E6"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Nationalité du CC/ADE/DC/fondé de procuration, notamment d’un pays à risque selon le chiffre selon le chiffre </w:t>
            </w:r>
            <w:r>
              <w:rPr>
                <w:rFonts w:ascii="Arial" w:hAnsi="Arial" w:cs="Arial"/>
                <w:sz w:val="22"/>
                <w:szCs w:val="22"/>
              </w:rPr>
              <w:fldChar w:fldCharType="begin">
                <w:ffData>
                  <w:name w:val="Text1"/>
                  <w:enabled/>
                  <w:calcOnExit w:val="0"/>
                  <w:textInput>
                    <w:default w:val="&lt;...&gt;"/>
                  </w:textInput>
                </w:ffData>
              </w:fldChar>
            </w:r>
            <w:r w:rsidRPr="00A638D5">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rPr>
                <w:rFonts w:ascii="Arial" w:hAnsi="Arial" w:cs="Arial"/>
                <w:sz w:val="22"/>
                <w:szCs w:val="22"/>
              </w:rPr>
              <w:t xml:space="preserve"> des directives internes</w:t>
            </w:r>
            <w:r w:rsidRPr="00394BB5">
              <w:rPr>
                <w:rFonts w:ascii="Arial" w:hAnsi="Arial" w:cs="Arial"/>
                <w:sz w:val="22"/>
                <w:szCs w:val="22"/>
                <w:vertAlign w:val="superscript"/>
              </w:rPr>
              <w:footnoteReference w:id="6"/>
            </w:r>
          </w:p>
        </w:tc>
        <w:tc>
          <w:tcPr>
            <w:tcW w:w="1620" w:type="dxa"/>
            <w:vAlign w:val="bottom"/>
          </w:tcPr>
          <w:p w14:paraId="0E81E4E4" w14:textId="77777777" w:rsidR="00722DE9" w:rsidRDefault="00722DE9" w:rsidP="00722DE9">
            <w:pPr>
              <w:pStyle w:val="Kopfzeile"/>
              <w:tabs>
                <w:tab w:val="clear" w:pos="4536"/>
                <w:tab w:val="clear" w:pos="9072"/>
                <w:tab w:val="left" w:pos="567"/>
              </w:tabs>
              <w:spacing w:before="120" w:after="120"/>
              <w:jc w:val="both"/>
              <w:rPr>
                <w:rFonts w:ascii="Arial" w:hAnsi="Arial" w:cs="Arial"/>
                <w:sz w:val="22"/>
                <w:szCs w:val="22"/>
              </w:rPr>
            </w:pPr>
            <w:r>
              <w:rPr>
                <w:rFonts w:ascii="Arial" w:hAnsi="Arial" w:cs="Arial"/>
                <w:sz w:val="22"/>
                <w:szCs w:val="22"/>
              </w:rPr>
              <w:t>oui □     non □</w:t>
            </w:r>
          </w:p>
        </w:tc>
      </w:tr>
      <w:tr w:rsidR="00722DE9" w:rsidRPr="008E55A6" w14:paraId="329C69A2" w14:textId="77777777" w:rsidTr="008E55A6">
        <w:tc>
          <w:tcPr>
            <w:tcW w:w="7920" w:type="dxa"/>
          </w:tcPr>
          <w:p w14:paraId="59120196" w14:textId="77777777" w:rsidR="00722DE9"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lastRenderedPageBreak/>
              <w:t>L</w:t>
            </w:r>
            <w:r w:rsidRPr="00E74371">
              <w:rPr>
                <w:rFonts w:ascii="Arial" w:hAnsi="Arial" w:cs="Arial"/>
                <w:sz w:val="22"/>
                <w:szCs w:val="22"/>
              </w:rPr>
              <w:t xml:space="preserve">a nature et le lieu des activités de la </w:t>
            </w:r>
            <w:r>
              <w:rPr>
                <w:rFonts w:ascii="Arial" w:hAnsi="Arial" w:cs="Arial"/>
                <w:sz w:val="22"/>
                <w:szCs w:val="22"/>
              </w:rPr>
              <w:t>CC</w:t>
            </w:r>
            <w:r w:rsidRPr="00E74371">
              <w:rPr>
                <w:rFonts w:ascii="Arial" w:hAnsi="Arial" w:cs="Arial"/>
                <w:sz w:val="22"/>
                <w:szCs w:val="22"/>
              </w:rPr>
              <w:t>/</w:t>
            </w:r>
            <w:r>
              <w:rPr>
                <w:rFonts w:ascii="Arial" w:hAnsi="Arial" w:cs="Arial"/>
                <w:sz w:val="22"/>
                <w:szCs w:val="22"/>
              </w:rPr>
              <w:t>ADE</w:t>
            </w:r>
            <w:r w:rsidRPr="00E74371">
              <w:rPr>
                <w:rFonts w:ascii="Arial" w:hAnsi="Arial" w:cs="Arial"/>
                <w:sz w:val="22"/>
                <w:szCs w:val="22"/>
              </w:rPr>
              <w:t xml:space="preserve"> ou du mandataire dans un pays considéré comme </w:t>
            </w:r>
            <w:r>
              <w:rPr>
                <w:rFonts w:ascii="Arial" w:hAnsi="Arial" w:cs="Arial"/>
                <w:sz w:val="22"/>
                <w:szCs w:val="22"/>
              </w:rPr>
              <w:t>« </w:t>
            </w:r>
            <w:r w:rsidRPr="00E74371">
              <w:rPr>
                <w:rFonts w:ascii="Arial" w:hAnsi="Arial" w:cs="Arial"/>
                <w:sz w:val="22"/>
                <w:szCs w:val="22"/>
              </w:rPr>
              <w:t>à haut risque</w:t>
            </w:r>
            <w:r>
              <w:rPr>
                <w:rFonts w:ascii="Arial" w:hAnsi="Arial" w:cs="Arial"/>
                <w:sz w:val="22"/>
                <w:szCs w:val="22"/>
              </w:rPr>
              <w:t xml:space="preserve"> » </w:t>
            </w:r>
            <w:r w:rsidRPr="00E74371">
              <w:rPr>
                <w:rFonts w:ascii="Arial" w:hAnsi="Arial" w:cs="Arial"/>
                <w:sz w:val="22"/>
                <w:szCs w:val="22"/>
              </w:rPr>
              <w:t>ou non coopératif par le GAFI</w:t>
            </w:r>
            <w:r>
              <w:rPr>
                <w:rStyle w:val="Funotenzeichen"/>
                <w:rFonts w:ascii="Arial" w:hAnsi="Arial" w:cs="Arial"/>
                <w:sz w:val="22"/>
                <w:szCs w:val="22"/>
              </w:rPr>
              <w:footnoteReference w:id="7"/>
            </w:r>
            <w:r>
              <w:rPr>
                <w:rFonts w:ascii="Arial" w:hAnsi="Arial" w:cs="Arial"/>
                <w:sz w:val="22"/>
                <w:szCs w:val="22"/>
              </w:rPr>
              <w:t xml:space="preserve"> </w:t>
            </w:r>
          </w:p>
        </w:tc>
        <w:tc>
          <w:tcPr>
            <w:tcW w:w="1620" w:type="dxa"/>
            <w:vAlign w:val="bottom"/>
          </w:tcPr>
          <w:p w14:paraId="22D3CE41" w14:textId="77777777" w:rsidR="00722DE9" w:rsidRDefault="00722DE9" w:rsidP="00722DE9">
            <w:pPr>
              <w:pStyle w:val="Kopfzeile"/>
              <w:tabs>
                <w:tab w:val="clear" w:pos="4536"/>
                <w:tab w:val="clear" w:pos="9072"/>
                <w:tab w:val="left" w:pos="567"/>
              </w:tabs>
              <w:spacing w:before="120" w:after="120"/>
              <w:jc w:val="both"/>
              <w:rPr>
                <w:rFonts w:ascii="Arial" w:hAnsi="Arial" w:cs="Arial"/>
                <w:sz w:val="22"/>
                <w:szCs w:val="22"/>
              </w:rPr>
            </w:pPr>
            <w:r>
              <w:rPr>
                <w:rFonts w:ascii="Arial" w:hAnsi="Arial" w:cs="Arial"/>
                <w:sz w:val="22"/>
                <w:szCs w:val="22"/>
              </w:rPr>
              <w:t>oui □     non □</w:t>
            </w:r>
          </w:p>
        </w:tc>
      </w:tr>
      <w:tr w:rsidR="00722DE9" w:rsidRPr="008E55A6" w14:paraId="07260487" w14:textId="77777777" w:rsidTr="008E55A6">
        <w:tc>
          <w:tcPr>
            <w:tcW w:w="7920" w:type="dxa"/>
          </w:tcPr>
          <w:p w14:paraId="358D3369" w14:textId="77777777" w:rsidR="00722DE9" w:rsidRPr="007212C5"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La nature de l’activité économique du CC/ADE/fondé de procuration est liée à un risque accru selon le chiffre </w:t>
            </w:r>
            <w:r>
              <w:rPr>
                <w:rFonts w:ascii="Arial" w:hAnsi="Arial" w:cs="Arial"/>
                <w:sz w:val="22"/>
                <w:szCs w:val="22"/>
              </w:rPr>
              <w:fldChar w:fldCharType="begin">
                <w:ffData>
                  <w:name w:val="Text1"/>
                  <w:enabled/>
                  <w:calcOnExit w:val="0"/>
                  <w:textInput>
                    <w:default w:val="&lt;...&gt;"/>
                  </w:textInput>
                </w:ffData>
              </w:fldChar>
            </w:r>
            <w:r w:rsidRPr="00A638D5">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rPr>
                <w:rFonts w:ascii="Arial" w:hAnsi="Arial" w:cs="Arial"/>
                <w:sz w:val="22"/>
                <w:szCs w:val="22"/>
              </w:rPr>
              <w:t xml:space="preserve"> des directives internes</w:t>
            </w:r>
            <w:r w:rsidRPr="000900E6">
              <w:rPr>
                <w:rFonts w:ascii="Arial" w:hAnsi="Arial" w:cs="Arial"/>
                <w:sz w:val="22"/>
                <w:szCs w:val="22"/>
                <w:vertAlign w:val="superscript"/>
              </w:rPr>
              <w:footnoteReference w:id="8"/>
            </w:r>
            <w:r>
              <w:rPr>
                <w:rFonts w:ascii="Arial" w:hAnsi="Arial" w:cs="Arial"/>
                <w:sz w:val="22"/>
                <w:szCs w:val="22"/>
              </w:rPr>
              <w:t xml:space="preserve"> </w:t>
            </w:r>
          </w:p>
        </w:tc>
        <w:tc>
          <w:tcPr>
            <w:tcW w:w="1620" w:type="dxa"/>
            <w:vAlign w:val="bottom"/>
          </w:tcPr>
          <w:p w14:paraId="04FA0888"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7E29B0B1" w14:textId="77777777" w:rsidTr="008E55A6">
        <w:tc>
          <w:tcPr>
            <w:tcW w:w="7920" w:type="dxa"/>
          </w:tcPr>
          <w:p w14:paraId="58886E95" w14:textId="77777777" w:rsidR="00722DE9" w:rsidRPr="00A638D5"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Activité économique inconnue</w:t>
            </w:r>
          </w:p>
        </w:tc>
        <w:tc>
          <w:tcPr>
            <w:tcW w:w="1620" w:type="dxa"/>
            <w:vAlign w:val="bottom"/>
          </w:tcPr>
          <w:p w14:paraId="0507252C"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3FB1C9F1" w14:textId="77777777" w:rsidTr="008E55A6">
        <w:tc>
          <w:tcPr>
            <w:tcW w:w="7920" w:type="dxa"/>
          </w:tcPr>
          <w:p w14:paraId="206C80D8" w14:textId="77777777" w:rsidR="00722DE9" w:rsidRPr="000900E6"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Le CC/ADE/fondé de procuration exerce une activité commerciale dans un pays à risque selon le chiffre </w:t>
            </w:r>
            <w:r>
              <w:rPr>
                <w:rFonts w:ascii="Arial" w:hAnsi="Arial" w:cs="Arial"/>
                <w:sz w:val="22"/>
                <w:szCs w:val="22"/>
              </w:rPr>
              <w:fldChar w:fldCharType="begin">
                <w:ffData>
                  <w:name w:val="Text1"/>
                  <w:enabled/>
                  <w:calcOnExit w:val="0"/>
                  <w:textInput>
                    <w:default w:val="&lt;...&gt;"/>
                  </w:textInput>
                </w:ffData>
              </w:fldChar>
            </w:r>
            <w:r w:rsidRPr="00A638D5">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rPr>
                <w:rFonts w:ascii="Arial" w:hAnsi="Arial" w:cs="Arial"/>
                <w:sz w:val="22"/>
                <w:szCs w:val="22"/>
              </w:rPr>
              <w:t xml:space="preserve"> des directives internes</w:t>
            </w:r>
            <w:r w:rsidRPr="00394BB5">
              <w:rPr>
                <w:rFonts w:ascii="Arial" w:hAnsi="Arial" w:cs="Arial"/>
                <w:sz w:val="22"/>
                <w:szCs w:val="22"/>
                <w:vertAlign w:val="superscript"/>
              </w:rPr>
              <w:footnoteReference w:id="9"/>
            </w:r>
          </w:p>
        </w:tc>
        <w:tc>
          <w:tcPr>
            <w:tcW w:w="1620" w:type="dxa"/>
            <w:vAlign w:val="bottom"/>
          </w:tcPr>
          <w:p w14:paraId="7D97B2C2"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633B4EE3" w14:textId="77777777" w:rsidTr="008E55A6">
        <w:tc>
          <w:tcPr>
            <w:tcW w:w="7920" w:type="dxa"/>
          </w:tcPr>
          <w:p w14:paraId="229CF9FF" w14:textId="77777777" w:rsidR="00722DE9" w:rsidRPr="00A638D5"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Il n’existe pas de contact personnel avec le CC/ADE/fondé de procuration</w:t>
            </w:r>
          </w:p>
        </w:tc>
        <w:tc>
          <w:tcPr>
            <w:tcW w:w="1620" w:type="dxa"/>
            <w:vAlign w:val="bottom"/>
          </w:tcPr>
          <w:p w14:paraId="7B2F5E23"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03811A79" w14:textId="77777777" w:rsidTr="008E55A6">
        <w:tc>
          <w:tcPr>
            <w:tcW w:w="7920" w:type="dxa"/>
          </w:tcPr>
          <w:p w14:paraId="754E4323" w14:textId="77777777" w:rsidR="00722DE9"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sidRPr="00B714A0">
              <w:rPr>
                <w:rFonts w:ascii="Arial" w:hAnsi="Arial" w:cs="Arial"/>
                <w:sz w:val="22"/>
                <w:szCs w:val="22"/>
              </w:rPr>
              <w:t>Activité commerciale ou prestations demandées dans le domaine du commerce d'armes, des entreprises de casinos, de l'extraction/du commerce de pierres précieuses.</w:t>
            </w:r>
          </w:p>
        </w:tc>
        <w:tc>
          <w:tcPr>
            <w:tcW w:w="1620" w:type="dxa"/>
            <w:vAlign w:val="bottom"/>
          </w:tcPr>
          <w:p w14:paraId="56728C66" w14:textId="77777777" w:rsidR="00722DE9" w:rsidRDefault="00722DE9" w:rsidP="00722DE9">
            <w:pPr>
              <w:pStyle w:val="Kopfzeile"/>
              <w:tabs>
                <w:tab w:val="clear" w:pos="4536"/>
                <w:tab w:val="clear" w:pos="9072"/>
                <w:tab w:val="left" w:pos="567"/>
              </w:tabs>
              <w:spacing w:before="120" w:after="120"/>
              <w:rPr>
                <w:rFonts w:ascii="Arial" w:hAnsi="Arial" w:cs="Arial"/>
                <w:sz w:val="22"/>
                <w:szCs w:val="22"/>
              </w:rPr>
            </w:pPr>
            <w:r>
              <w:rPr>
                <w:rFonts w:ascii="Arial" w:hAnsi="Arial" w:cs="Arial"/>
                <w:sz w:val="22"/>
                <w:szCs w:val="22"/>
              </w:rPr>
              <w:t>oui □     non □</w:t>
            </w:r>
          </w:p>
        </w:tc>
      </w:tr>
      <w:tr w:rsidR="00722DE9" w:rsidRPr="008E55A6" w14:paraId="3F4768B1" w14:textId="77777777" w:rsidTr="008E55A6">
        <w:tc>
          <w:tcPr>
            <w:tcW w:w="7920" w:type="dxa"/>
          </w:tcPr>
          <w:p w14:paraId="0AE13946" w14:textId="77777777" w:rsidR="00722DE9" w:rsidRPr="007212C5"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La nature des prestations requises est liée à un risque accru selon le chiffre </w:t>
            </w:r>
            <w:r>
              <w:rPr>
                <w:rFonts w:ascii="Arial" w:hAnsi="Arial" w:cs="Arial"/>
                <w:sz w:val="22"/>
                <w:szCs w:val="22"/>
              </w:rPr>
              <w:fldChar w:fldCharType="begin">
                <w:ffData>
                  <w:name w:val="Text1"/>
                  <w:enabled/>
                  <w:calcOnExit w:val="0"/>
                  <w:textInput>
                    <w:default w:val="&lt;...&gt;"/>
                  </w:textInput>
                </w:ffData>
              </w:fldChar>
            </w:r>
            <w:r w:rsidRPr="00A638D5">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t xml:space="preserve"> </w:t>
            </w:r>
            <w:r>
              <w:rPr>
                <w:rFonts w:ascii="Arial" w:hAnsi="Arial" w:cs="Arial"/>
                <w:sz w:val="22"/>
                <w:szCs w:val="22"/>
              </w:rPr>
              <w:t>des directives internes</w:t>
            </w:r>
          </w:p>
        </w:tc>
        <w:tc>
          <w:tcPr>
            <w:tcW w:w="1620" w:type="dxa"/>
            <w:vAlign w:val="bottom"/>
          </w:tcPr>
          <w:p w14:paraId="7D5EF76F"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29533573" w14:textId="77777777" w:rsidTr="008E55A6">
        <w:tc>
          <w:tcPr>
            <w:tcW w:w="7920" w:type="dxa"/>
          </w:tcPr>
          <w:p w14:paraId="31882272" w14:textId="77777777" w:rsidR="00722DE9" w:rsidRPr="00B13872"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La relation d’affaires porte, lors de sa conclusion ou plus tard, sur des actifs de plus de CHF </w:t>
            </w:r>
            <w:r>
              <w:rPr>
                <w:rFonts w:ascii="Arial" w:hAnsi="Arial" w:cs="Arial"/>
                <w:sz w:val="22"/>
                <w:szCs w:val="22"/>
              </w:rPr>
              <w:fldChar w:fldCharType="begin">
                <w:ffData>
                  <w:name w:val="Text1"/>
                  <w:enabled/>
                  <w:calcOnExit w:val="0"/>
                  <w:textInput>
                    <w:default w:val="&lt;...&gt;"/>
                  </w:textInput>
                </w:ffData>
              </w:fldChar>
            </w:r>
            <w:r w:rsidRPr="00A638D5">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rPr>
                <w:rFonts w:ascii="Arial" w:hAnsi="Arial" w:cs="Arial"/>
                <w:sz w:val="22"/>
                <w:szCs w:val="22"/>
              </w:rPr>
              <w:t xml:space="preserve"> millions </w:t>
            </w:r>
            <w:r w:rsidRPr="00300D99">
              <w:rPr>
                <w:rFonts w:ascii="Arial" w:hAnsi="Arial" w:cs="Arial"/>
                <w:sz w:val="22"/>
                <w:szCs w:val="22"/>
              </w:rPr>
              <w:t>ou à la contre-valeur en monnaie étrangère ou en crypto-monnaie.</w:t>
            </w:r>
          </w:p>
        </w:tc>
        <w:tc>
          <w:tcPr>
            <w:tcW w:w="1620" w:type="dxa"/>
            <w:vAlign w:val="bottom"/>
          </w:tcPr>
          <w:p w14:paraId="4E9E4894"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23FFB185" w14:textId="77777777" w:rsidTr="00FB6904">
        <w:tc>
          <w:tcPr>
            <w:tcW w:w="7920" w:type="dxa"/>
          </w:tcPr>
          <w:p w14:paraId="783654E4" w14:textId="77777777" w:rsidR="00722DE9" w:rsidRPr="00A638D5"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Le CC/ADE/DC/fondé de procuration exerce une activité économique impliquant des valeurs patrimoniales élevées </w:t>
            </w:r>
            <w:r w:rsidRPr="00300D99">
              <w:rPr>
                <w:rFonts w:ascii="Arial" w:hAnsi="Arial" w:cs="Arial"/>
                <w:sz w:val="22"/>
                <w:szCs w:val="22"/>
              </w:rPr>
              <w:t>ou contre-valeur en devises étrangères ou en crypto-monnaies</w:t>
            </w:r>
            <w:r>
              <w:rPr>
                <w:rFonts w:ascii="Arial" w:hAnsi="Arial" w:cs="Arial"/>
                <w:sz w:val="22"/>
                <w:szCs w:val="22"/>
              </w:rPr>
              <w:t xml:space="preserve"> (montant des entrées et sorties)</w:t>
            </w:r>
          </w:p>
        </w:tc>
        <w:tc>
          <w:tcPr>
            <w:tcW w:w="1620" w:type="dxa"/>
            <w:vAlign w:val="bottom"/>
          </w:tcPr>
          <w:p w14:paraId="5763A00B"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0EC67AA3" w14:textId="77777777" w:rsidTr="008E55A6">
        <w:tc>
          <w:tcPr>
            <w:tcW w:w="7920" w:type="dxa"/>
          </w:tcPr>
          <w:p w14:paraId="234A07E5" w14:textId="77777777" w:rsidR="00722DE9" w:rsidRPr="00A638D5"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Le CC/ADE/DC/fondé de procuration donne de faux renseignements, des renseignements trompeurs ou refuse de donner des renseignements</w:t>
            </w:r>
          </w:p>
        </w:tc>
        <w:tc>
          <w:tcPr>
            <w:tcW w:w="1620" w:type="dxa"/>
            <w:vAlign w:val="bottom"/>
          </w:tcPr>
          <w:p w14:paraId="6A1DA817"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6AF6A8BE" w14:textId="77777777" w:rsidTr="008E55A6">
        <w:tc>
          <w:tcPr>
            <w:tcW w:w="7920" w:type="dxa"/>
          </w:tcPr>
          <w:p w14:paraId="6F5B717D" w14:textId="77777777" w:rsidR="00722DE9" w:rsidRPr="00A638D5"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La structure du CC/ADE/fondé de procuration est complexe</w:t>
            </w:r>
            <w:r w:rsidRPr="00394BB5">
              <w:rPr>
                <w:rFonts w:ascii="Arial" w:hAnsi="Arial" w:cs="Arial"/>
                <w:sz w:val="22"/>
                <w:szCs w:val="22"/>
                <w:vertAlign w:val="superscript"/>
              </w:rPr>
              <w:footnoteReference w:id="10"/>
            </w:r>
          </w:p>
        </w:tc>
        <w:tc>
          <w:tcPr>
            <w:tcW w:w="1620" w:type="dxa"/>
            <w:vAlign w:val="bottom"/>
          </w:tcPr>
          <w:p w14:paraId="221DC40B" w14:textId="77777777" w:rsidR="00722DE9" w:rsidRPr="008E55A6" w:rsidRDefault="00722DE9" w:rsidP="00722DE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722DE9" w:rsidRPr="008E55A6" w14:paraId="02C75084" w14:textId="77777777" w:rsidTr="008E55A6">
        <w:tc>
          <w:tcPr>
            <w:tcW w:w="7920" w:type="dxa"/>
          </w:tcPr>
          <w:p w14:paraId="13B47D8F" w14:textId="77777777" w:rsidR="00722DE9" w:rsidDel="00921E0F" w:rsidRDefault="00722DE9" w:rsidP="00722DE9">
            <w:pPr>
              <w:pStyle w:val="Kopfzeile"/>
              <w:numPr>
                <w:ilvl w:val="0"/>
                <w:numId w:val="6"/>
              </w:numPr>
              <w:tabs>
                <w:tab w:val="clear" w:pos="4536"/>
                <w:tab w:val="clear" w:pos="9072"/>
              </w:tabs>
              <w:spacing w:before="120" w:after="120"/>
              <w:ind w:left="356" w:hanging="356"/>
              <w:jc w:val="both"/>
              <w:rPr>
                <w:rFonts w:ascii="Arial" w:hAnsi="Arial" w:cs="Arial"/>
                <w:sz w:val="22"/>
                <w:szCs w:val="22"/>
              </w:rPr>
            </w:pPr>
            <w:r w:rsidRPr="00300D99">
              <w:rPr>
                <w:rFonts w:ascii="Arial" w:hAnsi="Arial" w:cs="Arial"/>
                <w:sz w:val="22"/>
                <w:szCs w:val="22"/>
              </w:rPr>
              <w:t>La relation d'affaires est conclue avec un intermédiaire financier qui a son domicile ou son siège à l'étranger et qui est soumis à la législation d'un pays qui, selon les directives internes de l'IF, est considéré comme une juridiction ou un pays présentant des risques accrus et qui est soumis à la législation locale en matière de lutte contre le blanchiment d'argent et le financement du terrorisme.</w:t>
            </w:r>
          </w:p>
        </w:tc>
        <w:tc>
          <w:tcPr>
            <w:tcW w:w="1620" w:type="dxa"/>
            <w:vAlign w:val="bottom"/>
          </w:tcPr>
          <w:p w14:paraId="0E41863B" w14:textId="77777777" w:rsidR="00722DE9" w:rsidRDefault="00722DE9" w:rsidP="00722DE9">
            <w:pPr>
              <w:pStyle w:val="Kopfzeile"/>
              <w:tabs>
                <w:tab w:val="clear" w:pos="4536"/>
                <w:tab w:val="clear" w:pos="9072"/>
                <w:tab w:val="left" w:pos="567"/>
              </w:tabs>
              <w:spacing w:before="120" w:after="120"/>
              <w:rPr>
                <w:rFonts w:ascii="Arial" w:hAnsi="Arial" w:cs="Arial"/>
                <w:sz w:val="22"/>
                <w:szCs w:val="22"/>
              </w:rPr>
            </w:pPr>
            <w:r>
              <w:rPr>
                <w:rFonts w:ascii="Arial" w:hAnsi="Arial" w:cs="Arial"/>
                <w:sz w:val="22"/>
                <w:szCs w:val="22"/>
              </w:rPr>
              <w:t>oui □     non □</w:t>
            </w:r>
          </w:p>
        </w:tc>
      </w:tr>
    </w:tbl>
    <w:p w14:paraId="33688B94" w14:textId="77777777" w:rsidR="00ED6B0D" w:rsidRDefault="00ED6B0D" w:rsidP="00237387">
      <w:pPr>
        <w:rPr>
          <w:rFonts w:ascii="Arial" w:hAnsi="Arial" w:cs="Arial"/>
        </w:rPr>
      </w:pPr>
    </w:p>
    <w:p w14:paraId="4CBF8C60" w14:textId="77777777" w:rsidR="00ED6B0D" w:rsidRDefault="00ED6B0D" w:rsidP="00ED6B0D">
      <w:r>
        <w:br w:type="page"/>
      </w:r>
    </w:p>
    <w:p w14:paraId="6B792706" w14:textId="77777777" w:rsidR="00ED6B0D" w:rsidRDefault="00ED6B0D" w:rsidP="00237387">
      <w:pPr>
        <w:rPr>
          <w:rFonts w:ascii="Arial" w:hAnsi="Arial"/>
          <w:b/>
          <w:smallCaps/>
          <w:kern w:val="28"/>
          <w:sz w:val="28"/>
        </w:rPr>
      </w:pPr>
    </w:p>
    <w:p w14:paraId="21DAFD74" w14:textId="77777777" w:rsidR="006C6B8B" w:rsidRPr="007E325F" w:rsidRDefault="006C6B8B" w:rsidP="00237387">
      <w:pPr>
        <w:rPr>
          <w:rFonts w:ascii="Arial" w:hAnsi="Arial" w:cs="Arial"/>
        </w:rPr>
      </w:pPr>
      <w:r>
        <w:rPr>
          <w:rFonts w:ascii="Arial" w:hAnsi="Arial"/>
          <w:b/>
          <w:smallCaps/>
          <w:kern w:val="28"/>
          <w:sz w:val="28"/>
        </w:rPr>
        <w:t>Concernant les transactions :</w:t>
      </w:r>
    </w:p>
    <w:p w14:paraId="693A10BF" w14:textId="77777777" w:rsidR="006C6B8B" w:rsidRPr="000900E6" w:rsidRDefault="006C6B8B" w:rsidP="006C6B8B">
      <w:pPr>
        <w:rPr>
          <w:rFonts w:ascii="Arial" w:hAnsi="Arial" w:cs="Arial"/>
          <w:sz w:val="22"/>
          <w:szCs w:val="22"/>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0"/>
        <w:gridCol w:w="1620"/>
      </w:tblGrid>
      <w:tr w:rsidR="00D96DF9" w:rsidRPr="008E55A6" w14:paraId="159875D5" w14:textId="77777777" w:rsidTr="008E55A6">
        <w:tc>
          <w:tcPr>
            <w:tcW w:w="7920" w:type="dxa"/>
          </w:tcPr>
          <w:p w14:paraId="73A165C5" w14:textId="77777777" w:rsidR="00D96DF9" w:rsidRDefault="00DE4426" w:rsidP="00D96DF9">
            <w:pPr>
              <w:pStyle w:val="Kopfzeile"/>
              <w:tabs>
                <w:tab w:val="clear" w:pos="4536"/>
                <w:tab w:val="clear" w:pos="9072"/>
              </w:tabs>
              <w:spacing w:before="120" w:after="120"/>
              <w:jc w:val="both"/>
              <w:rPr>
                <w:rFonts w:ascii="Arial" w:hAnsi="Arial" w:cs="Arial"/>
                <w:sz w:val="22"/>
                <w:szCs w:val="22"/>
              </w:rPr>
            </w:pPr>
            <w:r w:rsidRPr="00737D45">
              <w:rPr>
                <w:rFonts w:ascii="Arial" w:hAnsi="Arial" w:cs="Arial"/>
                <w:b/>
                <w:sz w:val="22"/>
                <w:szCs w:val="22"/>
              </w:rPr>
              <w:t>Risque obligatoirement accru</w:t>
            </w:r>
          </w:p>
        </w:tc>
        <w:tc>
          <w:tcPr>
            <w:tcW w:w="1620" w:type="dxa"/>
            <w:vAlign w:val="bottom"/>
          </w:tcPr>
          <w:p w14:paraId="11CA3679" w14:textId="77777777" w:rsidR="00D96DF9" w:rsidRDefault="00D96DF9" w:rsidP="00BA1A94">
            <w:pPr>
              <w:pStyle w:val="Kopfzeile"/>
              <w:tabs>
                <w:tab w:val="clear" w:pos="4536"/>
                <w:tab w:val="clear" w:pos="9072"/>
                <w:tab w:val="left" w:pos="567"/>
              </w:tabs>
              <w:spacing w:before="120" w:after="120"/>
              <w:rPr>
                <w:rFonts w:ascii="Arial" w:hAnsi="Arial" w:cs="Arial"/>
                <w:sz w:val="22"/>
                <w:szCs w:val="22"/>
              </w:rPr>
            </w:pPr>
          </w:p>
        </w:tc>
      </w:tr>
      <w:tr w:rsidR="006C6B8B" w:rsidRPr="008E55A6" w14:paraId="1E5D3B42" w14:textId="77777777" w:rsidTr="008E55A6">
        <w:tc>
          <w:tcPr>
            <w:tcW w:w="7920" w:type="dxa"/>
          </w:tcPr>
          <w:p w14:paraId="14ED36DC" w14:textId="77777777" w:rsidR="006C6B8B" w:rsidRPr="000900E6" w:rsidRDefault="00D96DF9" w:rsidP="00FD3590">
            <w:pPr>
              <w:pStyle w:val="Kopfzeile"/>
              <w:numPr>
                <w:ilvl w:val="0"/>
                <w:numId w:val="9"/>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Des valeurs patrimoniales au sens de l’art. 2 let. a) règlement OAR sont déposées ou retirées physiquement en une fois ou de manière échelonnée pour une valeur supérieure à CHF 100'000 ou l'équivalent en monnaie étrangère</w:t>
            </w:r>
          </w:p>
        </w:tc>
        <w:tc>
          <w:tcPr>
            <w:tcW w:w="1620" w:type="dxa"/>
            <w:vAlign w:val="bottom"/>
          </w:tcPr>
          <w:p w14:paraId="6B5E5E86" w14:textId="77777777" w:rsidR="006C6B8B" w:rsidRPr="008E55A6" w:rsidRDefault="00BA1A94" w:rsidP="00BA1A94">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300D99" w:rsidRPr="008E55A6" w14:paraId="74C3832D" w14:textId="77777777" w:rsidTr="008E55A6">
        <w:tc>
          <w:tcPr>
            <w:tcW w:w="7920" w:type="dxa"/>
          </w:tcPr>
          <w:p w14:paraId="79B72120" w14:textId="77777777" w:rsidR="00300D99" w:rsidRDefault="00300D99" w:rsidP="00300D99">
            <w:pPr>
              <w:pStyle w:val="Kopfzeile"/>
              <w:numPr>
                <w:ilvl w:val="0"/>
                <w:numId w:val="9"/>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Un ou plusieurs transferts de fonds et de valeurs au sens de l’art. 2 let. a) et b) règlement OAR, apparemment liés entre eux, atteignant ou dépassant la somme de CHF 5'000 ou l'équivalent en monnaie étrangère sont exécutés</w:t>
            </w:r>
          </w:p>
        </w:tc>
        <w:tc>
          <w:tcPr>
            <w:tcW w:w="1620" w:type="dxa"/>
            <w:vAlign w:val="bottom"/>
          </w:tcPr>
          <w:p w14:paraId="017EB3C7" w14:textId="77777777" w:rsidR="00300D99" w:rsidRDefault="00300D99" w:rsidP="00300D99">
            <w:pPr>
              <w:pStyle w:val="Kopfzeile"/>
              <w:tabs>
                <w:tab w:val="clear" w:pos="4536"/>
                <w:tab w:val="clear" w:pos="9072"/>
                <w:tab w:val="left" w:pos="567"/>
              </w:tabs>
              <w:spacing w:before="120" w:after="120"/>
              <w:rPr>
                <w:rFonts w:ascii="Arial" w:hAnsi="Arial" w:cs="Arial"/>
                <w:sz w:val="22"/>
                <w:szCs w:val="22"/>
              </w:rPr>
            </w:pPr>
            <w:r>
              <w:rPr>
                <w:rFonts w:ascii="Arial" w:hAnsi="Arial" w:cs="Arial"/>
                <w:sz w:val="22"/>
                <w:szCs w:val="22"/>
              </w:rPr>
              <w:t>oui □     non □</w:t>
            </w:r>
          </w:p>
        </w:tc>
      </w:tr>
      <w:tr w:rsidR="00300D99" w:rsidRPr="008E55A6" w14:paraId="01EA7595" w14:textId="77777777" w:rsidTr="008E55A6">
        <w:tc>
          <w:tcPr>
            <w:tcW w:w="7920" w:type="dxa"/>
          </w:tcPr>
          <w:p w14:paraId="0B8C43CC" w14:textId="77777777" w:rsidR="00300D99" w:rsidRDefault="00300D99" w:rsidP="00300D99">
            <w:pPr>
              <w:pStyle w:val="Kopfzeile"/>
              <w:numPr>
                <w:ilvl w:val="0"/>
                <w:numId w:val="9"/>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La relation d'affaires implique des transactions (entrées et sorties) depuis ou vers un pays à risque</w:t>
            </w:r>
            <w:bookmarkStart w:id="1" w:name="_Ref132205227"/>
            <w:r w:rsidRPr="00394BB5">
              <w:rPr>
                <w:rFonts w:ascii="Arial" w:hAnsi="Arial" w:cs="Arial"/>
                <w:sz w:val="22"/>
                <w:szCs w:val="22"/>
                <w:vertAlign w:val="superscript"/>
              </w:rPr>
              <w:footnoteReference w:id="11"/>
            </w:r>
            <w:bookmarkEnd w:id="1"/>
            <w:r>
              <w:rPr>
                <w:rFonts w:ascii="Arial" w:hAnsi="Arial" w:cs="Arial"/>
                <w:sz w:val="22"/>
                <w:szCs w:val="22"/>
              </w:rPr>
              <w:t xml:space="preserve"> d'un montant de CHF </w:t>
            </w:r>
            <w:r>
              <w:rPr>
                <w:rFonts w:ascii="Arial" w:hAnsi="Arial" w:cs="Arial"/>
                <w:sz w:val="22"/>
                <w:szCs w:val="22"/>
              </w:rPr>
              <w:fldChar w:fldCharType="begin">
                <w:ffData>
                  <w:name w:val="Text1"/>
                  <w:enabled/>
                  <w:calcOnExit w:val="0"/>
                  <w:textInput>
                    <w:default w:val="&lt;...&gt;"/>
                  </w:textInput>
                </w:ffData>
              </w:fldChar>
            </w:r>
            <w:r w:rsidRPr="00A638D5">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rPr>
                <w:rFonts w:ascii="Arial" w:hAnsi="Arial" w:cs="Arial"/>
                <w:sz w:val="22"/>
                <w:szCs w:val="22"/>
              </w:rPr>
              <w:t xml:space="preserve"> ou supérieur par transaction (ou dans plusieurs transactions liées entre elles) ou de CHF </w:t>
            </w:r>
            <w:r>
              <w:rPr>
                <w:rFonts w:ascii="Arial" w:hAnsi="Arial" w:cs="Arial"/>
                <w:sz w:val="22"/>
                <w:szCs w:val="22"/>
              </w:rPr>
              <w:fldChar w:fldCharType="begin">
                <w:ffData>
                  <w:name w:val="Text1"/>
                  <w:enabled/>
                  <w:calcOnExit w:val="0"/>
                  <w:textInput>
                    <w:default w:val="&lt;...&gt;"/>
                  </w:textInput>
                </w:ffData>
              </w:fldChar>
            </w:r>
            <w:r w:rsidRPr="0044145B">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rPr>
                <w:rFonts w:ascii="Arial" w:hAnsi="Arial" w:cs="Arial"/>
                <w:sz w:val="22"/>
                <w:szCs w:val="22"/>
              </w:rPr>
              <w:t xml:space="preserve"> ou supérieur par an (seuils de transaction)</w:t>
            </w:r>
          </w:p>
        </w:tc>
        <w:tc>
          <w:tcPr>
            <w:tcW w:w="1620" w:type="dxa"/>
            <w:vAlign w:val="bottom"/>
          </w:tcPr>
          <w:p w14:paraId="1F119E16" w14:textId="77777777" w:rsidR="00300D99" w:rsidRDefault="00300D99" w:rsidP="00300D99">
            <w:pPr>
              <w:pStyle w:val="Kopfzeile"/>
              <w:tabs>
                <w:tab w:val="clear" w:pos="4536"/>
                <w:tab w:val="clear" w:pos="9072"/>
                <w:tab w:val="left" w:pos="567"/>
              </w:tabs>
              <w:spacing w:before="120" w:after="120"/>
              <w:rPr>
                <w:rFonts w:ascii="Arial" w:hAnsi="Arial" w:cs="Arial"/>
                <w:sz w:val="22"/>
                <w:szCs w:val="22"/>
              </w:rPr>
            </w:pPr>
            <w:r>
              <w:rPr>
                <w:rFonts w:ascii="Arial" w:hAnsi="Arial" w:cs="Arial"/>
                <w:sz w:val="22"/>
                <w:szCs w:val="22"/>
              </w:rPr>
              <w:t>oui □     non □</w:t>
            </w:r>
          </w:p>
        </w:tc>
      </w:tr>
      <w:tr w:rsidR="00300D99" w:rsidRPr="008E55A6" w14:paraId="0606698C" w14:textId="77777777" w:rsidTr="008E55A6">
        <w:tc>
          <w:tcPr>
            <w:tcW w:w="7920" w:type="dxa"/>
          </w:tcPr>
          <w:p w14:paraId="1AAD8277" w14:textId="77777777" w:rsidR="00300D99" w:rsidRDefault="00300D99" w:rsidP="00300D99">
            <w:pPr>
              <w:pStyle w:val="Kopfzeile"/>
              <w:tabs>
                <w:tab w:val="clear" w:pos="4536"/>
                <w:tab w:val="clear" w:pos="9072"/>
              </w:tabs>
              <w:spacing w:before="120" w:after="120"/>
              <w:jc w:val="both"/>
              <w:rPr>
                <w:rFonts w:ascii="Arial" w:hAnsi="Arial" w:cs="Arial"/>
                <w:sz w:val="22"/>
                <w:szCs w:val="22"/>
              </w:rPr>
            </w:pPr>
            <w:r w:rsidRPr="00737D45">
              <w:rPr>
                <w:rFonts w:ascii="Arial" w:hAnsi="Arial" w:cs="Arial"/>
                <w:b/>
                <w:sz w:val="22"/>
                <w:szCs w:val="22"/>
              </w:rPr>
              <w:t>Autres critères de risque élevé</w:t>
            </w:r>
          </w:p>
        </w:tc>
        <w:tc>
          <w:tcPr>
            <w:tcW w:w="1620" w:type="dxa"/>
            <w:vAlign w:val="bottom"/>
          </w:tcPr>
          <w:p w14:paraId="0D72BE97" w14:textId="77777777" w:rsidR="00300D99" w:rsidRDefault="00300D99" w:rsidP="00300D99">
            <w:pPr>
              <w:pStyle w:val="Kopfzeile"/>
              <w:tabs>
                <w:tab w:val="clear" w:pos="4536"/>
                <w:tab w:val="clear" w:pos="9072"/>
                <w:tab w:val="left" w:pos="567"/>
              </w:tabs>
              <w:spacing w:before="120" w:after="120"/>
              <w:rPr>
                <w:rFonts w:ascii="Arial" w:hAnsi="Arial" w:cs="Arial"/>
                <w:sz w:val="22"/>
                <w:szCs w:val="22"/>
              </w:rPr>
            </w:pPr>
          </w:p>
        </w:tc>
      </w:tr>
      <w:tr w:rsidR="00300D99" w:rsidRPr="008E55A6" w14:paraId="7872006B" w14:textId="77777777" w:rsidTr="008E55A6">
        <w:tc>
          <w:tcPr>
            <w:tcW w:w="7920" w:type="dxa"/>
          </w:tcPr>
          <w:p w14:paraId="3F0BC64C" w14:textId="77777777" w:rsidR="00300D99" w:rsidRPr="0044145B" w:rsidRDefault="00300D99" w:rsidP="00300D99">
            <w:pPr>
              <w:pStyle w:val="Kopfzeile"/>
              <w:numPr>
                <w:ilvl w:val="0"/>
                <w:numId w:val="9"/>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Pays d’origine ou de destination de paiements, notamment pour les paiements en provenance ou à destination d’un pays considéré comme « high risk » ou non coopératif par le GAFI et pour lequel le GAFI appelle à un surcroît de prudence</w:t>
            </w:r>
            <w:r w:rsidR="00EA46B4">
              <w:rPr>
                <w:rStyle w:val="Funotenzeichen"/>
                <w:rFonts w:ascii="Arial" w:hAnsi="Arial" w:cs="Arial"/>
                <w:sz w:val="22"/>
                <w:szCs w:val="22"/>
              </w:rPr>
              <w:footnoteReference w:id="12"/>
            </w:r>
          </w:p>
        </w:tc>
        <w:tc>
          <w:tcPr>
            <w:tcW w:w="1620" w:type="dxa"/>
            <w:vAlign w:val="bottom"/>
          </w:tcPr>
          <w:p w14:paraId="41C3326B" w14:textId="77777777" w:rsidR="00300D99" w:rsidRPr="008E55A6" w:rsidRDefault="00300D99" w:rsidP="00300D99">
            <w:pPr>
              <w:pStyle w:val="Kopfzeile"/>
              <w:tabs>
                <w:tab w:val="clear" w:pos="4536"/>
                <w:tab w:val="clear" w:pos="9072"/>
                <w:tab w:val="left" w:pos="567"/>
              </w:tabs>
              <w:spacing w:before="120" w:after="120"/>
              <w:rPr>
                <w:rFonts w:ascii="Arial" w:hAnsi="Arial" w:cs="Arial"/>
                <w:sz w:val="22"/>
                <w:szCs w:val="22"/>
                <w:lang w:val="de-CH"/>
              </w:rPr>
            </w:pPr>
            <w:r>
              <w:rPr>
                <w:rFonts w:ascii="Arial" w:hAnsi="Arial" w:cs="Arial"/>
                <w:sz w:val="22"/>
                <w:szCs w:val="22"/>
              </w:rPr>
              <w:t>oui □     non □</w:t>
            </w:r>
          </w:p>
        </w:tc>
      </w:tr>
      <w:tr w:rsidR="00300D99" w:rsidRPr="008E55A6" w14:paraId="2F7A09A5" w14:textId="77777777" w:rsidTr="008E55A6">
        <w:tc>
          <w:tcPr>
            <w:tcW w:w="7920" w:type="dxa"/>
          </w:tcPr>
          <w:p w14:paraId="48870900" w14:textId="77777777" w:rsidR="00300D99" w:rsidRDefault="00300D99" w:rsidP="00300D99">
            <w:pPr>
              <w:pStyle w:val="Kopfzeile"/>
              <w:numPr>
                <w:ilvl w:val="0"/>
                <w:numId w:val="9"/>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La transaction porte sur des valeurs patrimoniales d’un montant total de CHF </w:t>
            </w:r>
            <w:r>
              <w:rPr>
                <w:rFonts w:ascii="Arial" w:hAnsi="Arial" w:cs="Arial"/>
                <w:sz w:val="22"/>
                <w:szCs w:val="22"/>
              </w:rPr>
              <w:fldChar w:fldCharType="begin">
                <w:ffData>
                  <w:name w:val="Text1"/>
                  <w:enabled/>
                  <w:calcOnExit w:val="0"/>
                  <w:textInput>
                    <w:default w:val="&lt;...&gt;"/>
                  </w:textInput>
                </w:ffData>
              </w:fldChar>
            </w:r>
            <w:r w:rsidRPr="00A638D5">
              <w:rPr>
                <w:rFonts w:ascii="Arial" w:hAnsi="Arial" w:cs="Arial"/>
                <w:sz w:val="22"/>
                <w:szCs w:val="22"/>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sz w:val="22"/>
                <w:szCs w:val="22"/>
              </w:rPr>
              <w:t>&lt;...&gt;</w:t>
            </w:r>
            <w:r>
              <w:fldChar w:fldCharType="end"/>
            </w:r>
            <w:r>
              <w:rPr>
                <w:rFonts w:ascii="Arial" w:hAnsi="Arial" w:cs="Arial"/>
                <w:sz w:val="22"/>
                <w:szCs w:val="22"/>
              </w:rPr>
              <w:t xml:space="preserve"> ou supérieur (p.ex. tranches de la transaction totale via d’autres IF, ou autres)</w:t>
            </w:r>
          </w:p>
        </w:tc>
        <w:tc>
          <w:tcPr>
            <w:tcW w:w="1620" w:type="dxa"/>
            <w:vAlign w:val="bottom"/>
          </w:tcPr>
          <w:p w14:paraId="7F710FDA" w14:textId="77777777" w:rsidR="00300D99" w:rsidRDefault="00300D99" w:rsidP="00300D99">
            <w:pPr>
              <w:pStyle w:val="Kopfzeile"/>
              <w:tabs>
                <w:tab w:val="clear" w:pos="4536"/>
                <w:tab w:val="clear" w:pos="9072"/>
                <w:tab w:val="left" w:pos="567"/>
              </w:tabs>
              <w:spacing w:before="120" w:after="120"/>
              <w:rPr>
                <w:rFonts w:ascii="Arial" w:hAnsi="Arial" w:cs="Arial"/>
                <w:sz w:val="22"/>
                <w:szCs w:val="22"/>
              </w:rPr>
            </w:pPr>
            <w:r>
              <w:rPr>
                <w:rFonts w:ascii="Arial" w:hAnsi="Arial" w:cs="Arial"/>
                <w:sz w:val="22"/>
                <w:szCs w:val="22"/>
              </w:rPr>
              <w:t>oui □     non □</w:t>
            </w:r>
          </w:p>
        </w:tc>
      </w:tr>
      <w:tr w:rsidR="00300D99" w:rsidRPr="008E55A6" w14:paraId="4C5B8F5B" w14:textId="77777777" w:rsidTr="008E55A6">
        <w:tc>
          <w:tcPr>
            <w:tcW w:w="7920" w:type="dxa"/>
          </w:tcPr>
          <w:p w14:paraId="77D0C4B2" w14:textId="77777777" w:rsidR="00300D99" w:rsidRPr="007C76C2" w:rsidRDefault="00300D99" w:rsidP="00300D99">
            <w:pPr>
              <w:pStyle w:val="Kopfzeile"/>
              <w:numPr>
                <w:ilvl w:val="0"/>
                <w:numId w:val="9"/>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Écarts significatifs de la/des transaction(s) par rapport </w:t>
            </w:r>
            <w:r w:rsidRPr="007C76C2">
              <w:rPr>
                <w:rFonts w:ascii="Arial" w:hAnsi="Arial" w:cs="Arial"/>
                <w:sz w:val="22"/>
                <w:szCs w:val="22"/>
              </w:rPr>
              <w:t>aux transactions habituelles dans la relation d’affaires concernée s’agissant de leur nature, leur volume ou leur fréquence</w:t>
            </w:r>
          </w:p>
        </w:tc>
        <w:tc>
          <w:tcPr>
            <w:tcW w:w="1620" w:type="dxa"/>
            <w:vAlign w:val="bottom"/>
          </w:tcPr>
          <w:p w14:paraId="1F16E4FD" w14:textId="77777777" w:rsidR="00300D99" w:rsidRDefault="00300D99" w:rsidP="00300D99">
            <w:pPr>
              <w:pStyle w:val="Kopfzeile"/>
              <w:tabs>
                <w:tab w:val="clear" w:pos="4536"/>
                <w:tab w:val="clear" w:pos="9072"/>
                <w:tab w:val="left" w:pos="567"/>
              </w:tabs>
              <w:spacing w:before="120" w:after="120"/>
              <w:rPr>
                <w:rFonts w:ascii="Arial" w:hAnsi="Arial" w:cs="Arial"/>
                <w:sz w:val="22"/>
                <w:szCs w:val="22"/>
              </w:rPr>
            </w:pPr>
            <w:r>
              <w:rPr>
                <w:rFonts w:ascii="Arial" w:hAnsi="Arial" w:cs="Arial"/>
                <w:sz w:val="22"/>
                <w:szCs w:val="22"/>
              </w:rPr>
              <w:t>oui □     non □</w:t>
            </w:r>
          </w:p>
        </w:tc>
      </w:tr>
      <w:tr w:rsidR="00300D99" w:rsidRPr="008E55A6" w14:paraId="04621BB8" w14:textId="77777777" w:rsidTr="008E55A6">
        <w:tc>
          <w:tcPr>
            <w:tcW w:w="7920" w:type="dxa"/>
          </w:tcPr>
          <w:p w14:paraId="6F9780E7" w14:textId="77777777" w:rsidR="00300D99" w:rsidRPr="007C76C2" w:rsidRDefault="00300D99" w:rsidP="00300D99">
            <w:pPr>
              <w:pStyle w:val="Kopfzeile"/>
              <w:numPr>
                <w:ilvl w:val="0"/>
                <w:numId w:val="9"/>
              </w:numPr>
              <w:tabs>
                <w:tab w:val="clear" w:pos="4536"/>
                <w:tab w:val="clear" w:pos="9072"/>
              </w:tabs>
              <w:spacing w:before="120" w:after="120"/>
              <w:ind w:left="356" w:hanging="356"/>
              <w:jc w:val="both"/>
              <w:rPr>
                <w:rFonts w:ascii="Arial" w:hAnsi="Arial" w:cs="Arial"/>
                <w:sz w:val="22"/>
                <w:szCs w:val="22"/>
              </w:rPr>
            </w:pPr>
            <w:r>
              <w:rPr>
                <w:rFonts w:ascii="Arial" w:hAnsi="Arial" w:cs="Arial"/>
                <w:sz w:val="22"/>
                <w:szCs w:val="22"/>
              </w:rPr>
              <w:t xml:space="preserve">Écarts significatifs de la/des transaction(s) par rapport </w:t>
            </w:r>
            <w:r w:rsidRPr="007C76C2">
              <w:rPr>
                <w:rFonts w:ascii="Arial" w:hAnsi="Arial" w:cs="Arial"/>
                <w:sz w:val="22"/>
                <w:szCs w:val="22"/>
              </w:rPr>
              <w:t>à la nature, au volume ou à la fréquence des transactions effectuées dans des relations d’affaires comparables</w:t>
            </w:r>
          </w:p>
        </w:tc>
        <w:tc>
          <w:tcPr>
            <w:tcW w:w="1620" w:type="dxa"/>
            <w:vAlign w:val="bottom"/>
          </w:tcPr>
          <w:p w14:paraId="22391EDF" w14:textId="77777777" w:rsidR="00300D99" w:rsidRDefault="00300D99" w:rsidP="00300D99">
            <w:pPr>
              <w:pStyle w:val="Kopfzeile"/>
              <w:tabs>
                <w:tab w:val="clear" w:pos="4536"/>
                <w:tab w:val="clear" w:pos="9072"/>
                <w:tab w:val="left" w:pos="567"/>
              </w:tabs>
              <w:spacing w:before="120" w:after="120"/>
              <w:rPr>
                <w:rFonts w:ascii="Arial" w:hAnsi="Arial" w:cs="Arial"/>
                <w:sz w:val="22"/>
                <w:szCs w:val="22"/>
              </w:rPr>
            </w:pPr>
            <w:r>
              <w:rPr>
                <w:rFonts w:ascii="Arial" w:hAnsi="Arial" w:cs="Arial"/>
                <w:sz w:val="22"/>
                <w:szCs w:val="22"/>
              </w:rPr>
              <w:t>oui □     non □</w:t>
            </w:r>
          </w:p>
        </w:tc>
      </w:tr>
      <w:tr w:rsidR="00300D99" w:rsidRPr="008E55A6" w14:paraId="5D36AD77" w14:textId="77777777" w:rsidTr="008E55A6">
        <w:tc>
          <w:tcPr>
            <w:tcW w:w="9540" w:type="dxa"/>
            <w:gridSpan w:val="2"/>
          </w:tcPr>
          <w:p w14:paraId="42CE18FE" w14:textId="77777777" w:rsidR="00300D99" w:rsidRPr="000A17A8" w:rsidRDefault="00300D99" w:rsidP="00300D99">
            <w:pPr>
              <w:pStyle w:val="Kopfzeile"/>
              <w:tabs>
                <w:tab w:val="clear" w:pos="4536"/>
                <w:tab w:val="clear" w:pos="9072"/>
                <w:tab w:val="left" w:pos="567"/>
              </w:tabs>
              <w:spacing w:before="120" w:after="120"/>
              <w:jc w:val="both"/>
              <w:rPr>
                <w:rFonts w:ascii="Arial" w:hAnsi="Arial" w:cs="Arial"/>
                <w:sz w:val="22"/>
                <w:szCs w:val="22"/>
                <w:lang w:val="de-CH"/>
              </w:rPr>
            </w:pPr>
            <w:r>
              <w:rPr>
                <w:rFonts w:ascii="Arial" w:hAnsi="Arial" w:cs="Arial"/>
                <w:sz w:val="22"/>
                <w:szCs w:val="22"/>
              </w:rPr>
              <w:t>Remarques :</w:t>
            </w:r>
          </w:p>
          <w:p w14:paraId="77A1961F" w14:textId="77777777" w:rsidR="00300D99" w:rsidRPr="000A17A8" w:rsidRDefault="00300D99" w:rsidP="00300D99">
            <w:pPr>
              <w:pStyle w:val="Kopfzeile"/>
              <w:tabs>
                <w:tab w:val="clear" w:pos="4536"/>
                <w:tab w:val="clear" w:pos="9072"/>
                <w:tab w:val="left" w:pos="567"/>
              </w:tabs>
              <w:spacing w:before="120" w:after="120"/>
              <w:jc w:val="both"/>
              <w:rPr>
                <w:rFonts w:ascii="Arial" w:hAnsi="Arial" w:cs="Arial"/>
                <w:sz w:val="22"/>
                <w:szCs w:val="22"/>
                <w:lang w:val="de-CH"/>
              </w:rPr>
            </w:pPr>
          </w:p>
          <w:p w14:paraId="0D0918E7" w14:textId="77777777" w:rsidR="00300D99" w:rsidRPr="000A17A8" w:rsidRDefault="00300D99" w:rsidP="00300D99">
            <w:pPr>
              <w:pStyle w:val="Kopfzeile"/>
              <w:tabs>
                <w:tab w:val="clear" w:pos="4536"/>
                <w:tab w:val="clear" w:pos="9072"/>
                <w:tab w:val="left" w:pos="567"/>
              </w:tabs>
              <w:spacing w:before="120" w:after="120"/>
              <w:jc w:val="both"/>
              <w:rPr>
                <w:rFonts w:ascii="Arial" w:hAnsi="Arial" w:cs="Arial"/>
                <w:sz w:val="22"/>
                <w:szCs w:val="22"/>
                <w:lang w:val="de-CH"/>
              </w:rPr>
            </w:pPr>
          </w:p>
          <w:p w14:paraId="310D104A" w14:textId="77777777" w:rsidR="00300D99" w:rsidRPr="008E55A6" w:rsidRDefault="00300D99" w:rsidP="00300D99">
            <w:pPr>
              <w:pStyle w:val="Kopfzeile"/>
              <w:tabs>
                <w:tab w:val="clear" w:pos="4536"/>
                <w:tab w:val="clear" w:pos="9072"/>
                <w:tab w:val="left" w:pos="567"/>
              </w:tabs>
              <w:spacing w:before="120" w:after="120"/>
              <w:jc w:val="both"/>
              <w:rPr>
                <w:rFonts w:ascii="Arial" w:hAnsi="Arial" w:cs="Arial"/>
                <w:sz w:val="22"/>
                <w:szCs w:val="22"/>
                <w:lang w:val="de-CH"/>
              </w:rPr>
            </w:pPr>
          </w:p>
        </w:tc>
      </w:tr>
    </w:tbl>
    <w:p w14:paraId="15A98C1E" w14:textId="77777777" w:rsidR="007C76C2" w:rsidRDefault="007C76C2" w:rsidP="0094080B">
      <w:pPr>
        <w:rPr>
          <w:rFonts w:ascii="Arial" w:hAnsi="Arial" w:cs="Arial"/>
          <w:sz w:val="22"/>
          <w:szCs w:val="22"/>
          <w:u w:val="single"/>
          <w:lang w:val="de-CH"/>
        </w:rPr>
      </w:pPr>
    </w:p>
    <w:p w14:paraId="2471253B" w14:textId="77777777" w:rsidR="007C76C2" w:rsidRDefault="007C76C2" w:rsidP="007C76C2">
      <w:pPr>
        <w:rPr>
          <w:lang w:val="de-CH"/>
        </w:rPr>
      </w:pPr>
      <w:r>
        <w:rPr>
          <w:lang w:val="de-CH"/>
        </w:rPr>
        <w:br w:type="page"/>
      </w:r>
    </w:p>
    <w:p w14:paraId="23AE031B" w14:textId="77777777" w:rsidR="006C6B8B" w:rsidRDefault="006C6B8B" w:rsidP="0094080B">
      <w:pPr>
        <w:rPr>
          <w:rFonts w:ascii="Arial" w:hAnsi="Arial" w:cs="Arial"/>
          <w:sz w:val="22"/>
          <w:szCs w:val="22"/>
          <w:u w:val="single"/>
          <w:lang w:val="de-CH"/>
        </w:rPr>
      </w:pPr>
    </w:p>
    <w:p w14:paraId="65B9DEE6" w14:textId="77777777" w:rsidR="006C6B8B" w:rsidRPr="00A638D5" w:rsidRDefault="006C6B8B" w:rsidP="006C6B8B">
      <w:pPr>
        <w:pStyle w:val="Kopfzeile"/>
        <w:tabs>
          <w:tab w:val="clear" w:pos="4536"/>
          <w:tab w:val="clear" w:pos="9072"/>
        </w:tabs>
        <w:rPr>
          <w:rFonts w:ascii="Arial" w:hAnsi="Arial" w:cs="Arial"/>
          <w:b/>
          <w:sz w:val="22"/>
          <w:szCs w:val="22"/>
          <w:lang w:eastAsia="fr-FR"/>
        </w:rPr>
      </w:pPr>
      <w:r>
        <w:rPr>
          <w:rFonts w:ascii="Arial" w:hAnsi="Arial" w:cs="Arial"/>
          <w:b/>
          <w:sz w:val="22"/>
          <w:szCs w:val="22"/>
        </w:rPr>
        <w:t>Le présent formulaire a été complété par :</w:t>
      </w:r>
    </w:p>
    <w:p w14:paraId="26A91152" w14:textId="77777777" w:rsidR="006C6B8B" w:rsidRPr="00A638D5" w:rsidRDefault="006C6B8B" w:rsidP="006C6B8B">
      <w:pPr>
        <w:rPr>
          <w:rFonts w:ascii="Arial" w:hAnsi="Arial" w:cs="Arial"/>
          <w:sz w:val="22"/>
          <w:szCs w:val="22"/>
          <w:u w:val="single"/>
        </w:rPr>
      </w:pPr>
    </w:p>
    <w:p w14:paraId="3F0A429E" w14:textId="77777777" w:rsidR="006C6B8B" w:rsidRPr="00A638D5" w:rsidRDefault="006C6B8B" w:rsidP="00C440DE">
      <w:pPr>
        <w:tabs>
          <w:tab w:val="left" w:pos="2268"/>
          <w:tab w:val="left" w:leader="dot" w:pos="5103"/>
        </w:tabs>
        <w:rPr>
          <w:rFonts w:ascii="Arial" w:hAnsi="Arial" w:cs="Arial"/>
          <w:sz w:val="22"/>
          <w:szCs w:val="22"/>
        </w:rPr>
      </w:pPr>
      <w:r>
        <w:rPr>
          <w:rFonts w:ascii="Arial" w:hAnsi="Arial" w:cs="Arial"/>
          <w:sz w:val="22"/>
          <w:szCs w:val="22"/>
        </w:rPr>
        <w:t>Nom, prénom</w:t>
      </w:r>
      <w:r>
        <w:rPr>
          <w:rFonts w:ascii="Arial" w:hAnsi="Arial" w:cs="Arial"/>
          <w:sz w:val="22"/>
          <w:szCs w:val="22"/>
        </w:rPr>
        <w:tab/>
      </w:r>
      <w:r>
        <w:rPr>
          <w:rFonts w:ascii="Arial" w:hAnsi="Arial" w:cs="Arial"/>
          <w:sz w:val="22"/>
          <w:szCs w:val="22"/>
        </w:rPr>
        <w:tab/>
      </w:r>
    </w:p>
    <w:p w14:paraId="07AA7A59" w14:textId="77777777" w:rsidR="006C6B8B" w:rsidRPr="00A638D5" w:rsidRDefault="006C6B8B" w:rsidP="006C6B8B">
      <w:pPr>
        <w:rPr>
          <w:rFonts w:ascii="Arial" w:hAnsi="Arial" w:cs="Arial"/>
          <w:sz w:val="22"/>
          <w:szCs w:val="22"/>
        </w:rPr>
      </w:pPr>
    </w:p>
    <w:p w14:paraId="32245EBB" w14:textId="77777777" w:rsidR="006C6B8B" w:rsidRPr="00A638D5" w:rsidRDefault="006C6B8B" w:rsidP="00C440DE">
      <w:pPr>
        <w:tabs>
          <w:tab w:val="left" w:pos="2268"/>
          <w:tab w:val="left" w:leader="dot" w:pos="5103"/>
        </w:tabs>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p>
    <w:p w14:paraId="385300D4" w14:textId="77777777" w:rsidR="006C6B8B" w:rsidRPr="00A638D5" w:rsidRDefault="006C6B8B" w:rsidP="006C6B8B">
      <w:pPr>
        <w:rPr>
          <w:rFonts w:ascii="Arial" w:hAnsi="Arial" w:cs="Arial"/>
          <w:sz w:val="22"/>
          <w:szCs w:val="22"/>
          <w:u w:val="single"/>
        </w:rPr>
      </w:pPr>
    </w:p>
    <w:p w14:paraId="63539723" w14:textId="77777777" w:rsidR="00ED596C" w:rsidRPr="00A638D5" w:rsidRDefault="00ED596C" w:rsidP="006C6B8B">
      <w:pPr>
        <w:rPr>
          <w:rFonts w:ascii="Arial" w:hAnsi="Arial" w:cs="Arial"/>
          <w:sz w:val="22"/>
          <w:szCs w:val="22"/>
          <w:u w:val="single"/>
        </w:rPr>
      </w:pPr>
    </w:p>
    <w:p w14:paraId="18D9F68E" w14:textId="77777777" w:rsidR="006C6B8B" w:rsidRPr="00A638D5" w:rsidRDefault="006C6B8B" w:rsidP="006C6B8B">
      <w:pPr>
        <w:pStyle w:val="Kopfzeile"/>
        <w:tabs>
          <w:tab w:val="clear" w:pos="4536"/>
          <w:tab w:val="clear" w:pos="9072"/>
        </w:tabs>
        <w:rPr>
          <w:rFonts w:ascii="Arial" w:hAnsi="Arial" w:cs="Arial"/>
          <w:b/>
          <w:sz w:val="22"/>
          <w:szCs w:val="22"/>
          <w:lang w:eastAsia="fr-FR"/>
        </w:rPr>
      </w:pPr>
      <w:r>
        <w:rPr>
          <w:rFonts w:ascii="Arial" w:hAnsi="Arial" w:cs="Arial"/>
          <w:b/>
          <w:sz w:val="22"/>
          <w:szCs w:val="22"/>
        </w:rPr>
        <w:t>Évaluation globale :</w:t>
      </w:r>
    </w:p>
    <w:p w14:paraId="7CD45B15" w14:textId="77777777" w:rsidR="006C6B8B" w:rsidRPr="00A638D5" w:rsidRDefault="006C6B8B" w:rsidP="006C6B8B">
      <w:pPr>
        <w:rPr>
          <w:rFonts w:ascii="Arial" w:hAnsi="Arial" w:cs="Arial"/>
          <w:sz w:val="22"/>
          <w:szCs w:val="22"/>
          <w:u w:val="single"/>
        </w:rPr>
      </w:pPr>
    </w:p>
    <w:p w14:paraId="79B728FD" w14:textId="77777777" w:rsidR="006C6B8B" w:rsidRPr="00A638D5" w:rsidRDefault="006C6B8B" w:rsidP="006C6B8B">
      <w:pPr>
        <w:tabs>
          <w:tab w:val="left" w:pos="2268"/>
        </w:tabs>
        <w:rPr>
          <w:rFonts w:ascii="Arial" w:hAnsi="Arial" w:cs="Arial"/>
          <w:sz w:val="22"/>
        </w:rPr>
      </w:pPr>
      <w:r>
        <w:rPr>
          <w:rFonts w:ascii="Arial" w:hAnsi="Arial" w:cs="Arial"/>
          <w:sz w:val="22"/>
          <w:szCs w:val="22"/>
        </w:rPr>
        <w:t>Risque accru</w:t>
      </w:r>
      <w:r>
        <w:rPr>
          <w:rFonts w:ascii="Arial" w:hAnsi="Arial" w:cs="Arial"/>
          <w:sz w:val="22"/>
          <w:szCs w:val="22"/>
        </w:rPr>
        <w:tab/>
        <w:t>□</w:t>
      </w:r>
    </w:p>
    <w:p w14:paraId="02AC7590" w14:textId="77777777" w:rsidR="006C6B8B" w:rsidRPr="00A638D5" w:rsidRDefault="006C6B8B" w:rsidP="006C6B8B">
      <w:pPr>
        <w:tabs>
          <w:tab w:val="left" w:pos="2268"/>
        </w:tabs>
        <w:rPr>
          <w:rFonts w:ascii="Arial" w:hAnsi="Arial" w:cs="Arial"/>
          <w:sz w:val="22"/>
        </w:rPr>
      </w:pPr>
    </w:p>
    <w:p w14:paraId="2D26CE56" w14:textId="77777777" w:rsidR="00F00C05" w:rsidRPr="00A638D5" w:rsidRDefault="006C6B8B" w:rsidP="00C440DE">
      <w:pPr>
        <w:tabs>
          <w:tab w:val="left" w:pos="2268"/>
          <w:tab w:val="left" w:pos="3828"/>
          <w:tab w:val="left" w:pos="5103"/>
          <w:tab w:val="right" w:leader="dot" w:pos="9356"/>
        </w:tabs>
        <w:rPr>
          <w:rFonts w:ascii="Arial" w:hAnsi="Arial" w:cs="Arial"/>
          <w:sz w:val="22"/>
        </w:rPr>
      </w:pPr>
      <w:r>
        <w:rPr>
          <w:rFonts w:ascii="Arial" w:hAnsi="Arial" w:cs="Arial"/>
          <w:sz w:val="22"/>
        </w:rPr>
        <w:t>Pas de risque accru</w:t>
      </w:r>
      <w:r>
        <w:rPr>
          <w:rFonts w:ascii="Arial" w:hAnsi="Arial" w:cs="Arial"/>
          <w:sz w:val="22"/>
        </w:rPr>
        <w:tab/>
        <w:t>□</w:t>
      </w:r>
      <w:r>
        <w:rPr>
          <w:rFonts w:ascii="Arial" w:hAnsi="Arial" w:cs="Arial"/>
          <w:sz w:val="22"/>
        </w:rPr>
        <w:tab/>
        <w:t>Visa IF :</w:t>
      </w:r>
      <w:r>
        <w:rPr>
          <w:rFonts w:ascii="Arial" w:hAnsi="Arial" w:cs="Arial"/>
          <w:sz w:val="22"/>
        </w:rPr>
        <w:tab/>
      </w:r>
      <w:r>
        <w:rPr>
          <w:rFonts w:ascii="Arial" w:hAnsi="Arial" w:cs="Arial"/>
          <w:sz w:val="22"/>
        </w:rPr>
        <w:tab/>
      </w:r>
    </w:p>
    <w:sectPr w:rsidR="00F00C05" w:rsidRPr="00A638D5" w:rsidSect="00585732">
      <w:headerReference w:type="default" r:id="rId8"/>
      <w:footerReference w:type="default" r:id="rId9"/>
      <w:pgSz w:w="11906" w:h="16838"/>
      <w:pgMar w:top="1417" w:right="110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B557" w14:textId="77777777" w:rsidR="006D573F" w:rsidRDefault="006D573F">
      <w:r>
        <w:separator/>
      </w:r>
    </w:p>
  </w:endnote>
  <w:endnote w:type="continuationSeparator" w:id="0">
    <w:p w14:paraId="4A3F3490" w14:textId="77777777" w:rsidR="006D573F" w:rsidRDefault="006D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A37B" w14:textId="77777777" w:rsidR="006C6B8B" w:rsidRPr="008E55A6" w:rsidRDefault="008E55A6" w:rsidP="008E55A6">
    <w:pPr>
      <w:pStyle w:val="Fuzeile"/>
      <w:jc w:val="right"/>
      <w:rPr>
        <w:rFonts w:ascii="Arial" w:hAnsi="Arial" w:cs="Arial"/>
        <w:sz w:val="20"/>
      </w:rPr>
    </w:pPr>
    <w:r w:rsidRPr="008E55A6">
      <w:rPr>
        <w:rFonts w:ascii="Arial" w:hAnsi="Arial" w:cs="Arial"/>
        <w:sz w:val="20"/>
      </w:rPr>
      <w:fldChar w:fldCharType="begin"/>
    </w:r>
    <w:r w:rsidRPr="008E55A6">
      <w:rPr>
        <w:rFonts w:ascii="Arial" w:hAnsi="Arial" w:cs="Arial"/>
        <w:sz w:val="20"/>
      </w:rPr>
      <w:instrText>PAGE   \* MERGEFORMAT</w:instrText>
    </w:r>
    <w:r w:rsidRPr="008E55A6">
      <w:rPr>
        <w:rFonts w:ascii="Arial" w:hAnsi="Arial" w:cs="Arial"/>
        <w:sz w:val="20"/>
      </w:rPr>
      <w:fldChar w:fldCharType="separate"/>
    </w:r>
    <w:r w:rsidR="00180BB8" w:rsidRPr="00180BB8">
      <w:rPr>
        <w:rFonts w:ascii="Arial" w:hAnsi="Arial" w:cs="Arial"/>
        <w:noProof/>
        <w:sz w:val="20"/>
        <w:lang w:val="de-DE"/>
      </w:rPr>
      <w:t>1</w:t>
    </w:r>
    <w:r w:rsidRPr="008E55A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757D" w14:textId="77777777" w:rsidR="006D573F" w:rsidRDefault="006D573F">
      <w:r>
        <w:separator/>
      </w:r>
    </w:p>
  </w:footnote>
  <w:footnote w:type="continuationSeparator" w:id="0">
    <w:p w14:paraId="72CC9ED8" w14:textId="77777777" w:rsidR="006D573F" w:rsidRDefault="006D573F">
      <w:r>
        <w:continuationSeparator/>
      </w:r>
    </w:p>
  </w:footnote>
  <w:footnote w:id="1">
    <w:p w14:paraId="406CF003" w14:textId="77777777" w:rsidR="000A17A8" w:rsidRPr="007779BA" w:rsidRDefault="000A17A8" w:rsidP="007779BA">
      <w:pPr>
        <w:pStyle w:val="Funotentext"/>
        <w:spacing w:before="120"/>
        <w:ind w:left="709" w:hanging="709"/>
        <w:jc w:val="both"/>
        <w:rPr>
          <w:rFonts w:ascii="Arial" w:hAnsi="Arial" w:cs="Arial"/>
          <w:sz w:val="18"/>
          <w:szCs w:val="18"/>
        </w:rPr>
      </w:pPr>
      <w:r w:rsidRPr="007779BA">
        <w:rPr>
          <w:rStyle w:val="Funotenzeichen"/>
          <w:rFonts w:ascii="Arial" w:hAnsi="Arial" w:cs="Arial"/>
          <w:sz w:val="18"/>
          <w:szCs w:val="18"/>
        </w:rPr>
        <w:footnoteRef/>
      </w:r>
      <w:r w:rsidRPr="007779BA">
        <w:rPr>
          <w:rFonts w:ascii="Arial" w:hAnsi="Arial" w:cs="Arial"/>
          <w:sz w:val="18"/>
          <w:szCs w:val="18"/>
        </w:rPr>
        <w:t xml:space="preserve"> </w:t>
      </w:r>
      <w:r w:rsidR="007779BA">
        <w:rPr>
          <w:rFonts w:ascii="Arial" w:hAnsi="Arial" w:cs="Arial"/>
          <w:sz w:val="18"/>
          <w:szCs w:val="18"/>
        </w:rPr>
        <w:tab/>
      </w:r>
      <w:r w:rsidRPr="007779BA">
        <w:rPr>
          <w:rFonts w:ascii="Arial" w:hAnsi="Arial" w:cs="Arial"/>
          <w:sz w:val="18"/>
          <w:szCs w:val="18"/>
        </w:rPr>
        <w:t>CC : cocontractant ; ADE : ayant droit économique ; DC : détenteur du contrôle ; PEP : personne politiquement exposée.</w:t>
      </w:r>
    </w:p>
  </w:footnote>
  <w:footnote w:id="2">
    <w:p w14:paraId="2E406A0C" w14:textId="77777777" w:rsidR="00BA1A94" w:rsidRPr="007779BA" w:rsidRDefault="00BA1A94" w:rsidP="007779BA">
      <w:pPr>
        <w:pStyle w:val="Funotentext"/>
        <w:spacing w:before="120"/>
        <w:ind w:left="709" w:hanging="709"/>
        <w:jc w:val="both"/>
        <w:rPr>
          <w:rFonts w:ascii="Arial" w:hAnsi="Arial" w:cs="Arial"/>
          <w:sz w:val="18"/>
          <w:szCs w:val="18"/>
        </w:rPr>
      </w:pPr>
      <w:r w:rsidRPr="007779BA">
        <w:rPr>
          <w:rStyle w:val="Funotenzeichen"/>
          <w:rFonts w:ascii="Arial" w:hAnsi="Arial" w:cs="Arial"/>
          <w:sz w:val="18"/>
          <w:szCs w:val="18"/>
        </w:rPr>
        <w:footnoteRef/>
      </w:r>
      <w:r w:rsidRPr="007779BA">
        <w:rPr>
          <w:rFonts w:ascii="Arial" w:hAnsi="Arial" w:cs="Arial"/>
          <w:sz w:val="18"/>
          <w:szCs w:val="18"/>
        </w:rPr>
        <w:t xml:space="preserve"> </w:t>
      </w:r>
      <w:r w:rsidR="007779BA">
        <w:rPr>
          <w:rFonts w:ascii="Arial" w:hAnsi="Arial" w:cs="Arial"/>
          <w:sz w:val="18"/>
          <w:szCs w:val="18"/>
        </w:rPr>
        <w:tab/>
      </w:r>
      <w:r w:rsidR="002010FD" w:rsidRPr="007779BA">
        <w:rPr>
          <w:rFonts w:ascii="Arial" w:hAnsi="Arial" w:cs="Arial"/>
          <w:sz w:val="18"/>
          <w:szCs w:val="18"/>
        </w:rPr>
        <w:t>Les relations d’affaires avec les PEP étrangères et leurs proches doivent dans tous les cas être considérées comme présentant des risques accrus (art. 13 al. 3 OBA-FINMA et 41 al. 3 règlement OAR).</w:t>
      </w:r>
    </w:p>
  </w:footnote>
  <w:footnote w:id="3">
    <w:p w14:paraId="783128B8" w14:textId="77777777" w:rsidR="00F96BC9" w:rsidRPr="007779BA" w:rsidRDefault="00F96BC9" w:rsidP="007779BA">
      <w:pPr>
        <w:pStyle w:val="Funotentext"/>
        <w:spacing w:before="120"/>
        <w:ind w:left="709" w:hanging="709"/>
        <w:jc w:val="both"/>
        <w:rPr>
          <w:rFonts w:ascii="Arial" w:hAnsi="Arial" w:cs="Arial"/>
          <w:sz w:val="18"/>
          <w:szCs w:val="18"/>
        </w:rPr>
      </w:pPr>
      <w:r w:rsidRPr="007779BA">
        <w:rPr>
          <w:rStyle w:val="Funotenzeichen"/>
          <w:rFonts w:ascii="Arial" w:hAnsi="Arial" w:cs="Arial"/>
          <w:sz w:val="18"/>
          <w:szCs w:val="18"/>
        </w:rPr>
        <w:footnoteRef/>
      </w:r>
      <w:r w:rsidRPr="007779BA">
        <w:rPr>
          <w:rFonts w:ascii="Arial" w:hAnsi="Arial" w:cs="Arial"/>
          <w:sz w:val="18"/>
          <w:szCs w:val="18"/>
        </w:rPr>
        <w:t xml:space="preserve"> </w:t>
      </w:r>
      <w:r w:rsidR="007779BA">
        <w:rPr>
          <w:rFonts w:ascii="Arial" w:hAnsi="Arial" w:cs="Arial"/>
          <w:sz w:val="18"/>
          <w:szCs w:val="18"/>
        </w:rPr>
        <w:tab/>
      </w:r>
      <w:r w:rsidR="006615B6" w:rsidRPr="007779BA">
        <w:rPr>
          <w:rFonts w:ascii="Arial" w:hAnsi="Arial" w:cs="Arial"/>
          <w:spacing w:val="-4"/>
          <w:sz w:val="18"/>
          <w:szCs w:val="18"/>
        </w:rPr>
        <w:t>Ce critère doit impérativement conclure à l’existence d’une relation d’affaires présentant un risque accru si ce dernier est en relation avec un ou plusieurs critère(s) de risques supplémentaires (art. 41 al. 4 règlement OAR)</w:t>
      </w:r>
      <w:r w:rsidRPr="007779BA">
        <w:rPr>
          <w:rFonts w:ascii="Arial" w:hAnsi="Arial" w:cs="Arial"/>
          <w:spacing w:val="-4"/>
          <w:sz w:val="18"/>
          <w:szCs w:val="18"/>
        </w:rPr>
        <w:t>.</w:t>
      </w:r>
    </w:p>
  </w:footnote>
  <w:footnote w:id="4">
    <w:p w14:paraId="10F41D4C" w14:textId="77777777" w:rsidR="00F96BC9" w:rsidRPr="007779BA" w:rsidRDefault="00F96BC9" w:rsidP="007779BA">
      <w:pPr>
        <w:pStyle w:val="Funotentext"/>
        <w:spacing w:before="120"/>
        <w:jc w:val="both"/>
        <w:rPr>
          <w:rFonts w:ascii="Arial" w:hAnsi="Arial" w:cs="Arial"/>
          <w:sz w:val="18"/>
          <w:szCs w:val="18"/>
        </w:rPr>
      </w:pPr>
      <w:r w:rsidRPr="007779BA">
        <w:rPr>
          <w:rStyle w:val="Funotenzeichen"/>
          <w:rFonts w:ascii="Arial" w:hAnsi="Arial" w:cs="Arial"/>
          <w:sz w:val="18"/>
          <w:szCs w:val="18"/>
        </w:rPr>
        <w:footnoteRef/>
      </w:r>
      <w:r w:rsidRPr="007779BA">
        <w:rPr>
          <w:rFonts w:ascii="Arial" w:hAnsi="Arial" w:cs="Arial"/>
          <w:sz w:val="18"/>
          <w:szCs w:val="18"/>
        </w:rPr>
        <w:t xml:space="preserve"> </w:t>
      </w:r>
      <w:r w:rsidR="007779BA">
        <w:rPr>
          <w:rFonts w:ascii="Arial" w:hAnsi="Arial" w:cs="Arial"/>
          <w:sz w:val="18"/>
          <w:szCs w:val="18"/>
        </w:rPr>
        <w:tab/>
      </w:r>
      <w:r w:rsidRPr="007779BA">
        <w:rPr>
          <w:rFonts w:ascii="Arial" w:hAnsi="Arial" w:cs="Arial"/>
          <w:spacing w:val="-4"/>
          <w:sz w:val="18"/>
          <w:szCs w:val="18"/>
        </w:rPr>
        <w:t xml:space="preserve">Cf. note de bas de page n° </w:t>
      </w:r>
      <w:r w:rsidR="006615B6" w:rsidRPr="007779BA">
        <w:rPr>
          <w:rFonts w:ascii="Arial" w:hAnsi="Arial" w:cs="Arial"/>
          <w:spacing w:val="-4"/>
          <w:sz w:val="18"/>
          <w:szCs w:val="18"/>
        </w:rPr>
        <w:t>3.</w:t>
      </w:r>
    </w:p>
  </w:footnote>
  <w:footnote w:id="5">
    <w:p w14:paraId="0014A93B" w14:textId="77777777" w:rsidR="00722DE9" w:rsidRPr="007779BA" w:rsidRDefault="00722DE9" w:rsidP="007779BA">
      <w:pPr>
        <w:pStyle w:val="Funotentext"/>
        <w:spacing w:before="120"/>
        <w:ind w:left="709" w:hanging="709"/>
        <w:jc w:val="both"/>
        <w:rPr>
          <w:rFonts w:ascii="Arial" w:hAnsi="Arial" w:cs="Arial"/>
          <w:sz w:val="18"/>
          <w:szCs w:val="18"/>
        </w:rPr>
      </w:pPr>
      <w:r w:rsidRPr="007779BA">
        <w:rPr>
          <w:rStyle w:val="Funotenzeichen"/>
          <w:rFonts w:ascii="Arial" w:hAnsi="Arial" w:cs="Arial"/>
          <w:sz w:val="18"/>
          <w:szCs w:val="18"/>
        </w:rPr>
        <w:footnoteRef/>
      </w:r>
      <w:r w:rsidRPr="007779BA">
        <w:rPr>
          <w:rFonts w:ascii="Arial" w:hAnsi="Arial" w:cs="Arial"/>
          <w:sz w:val="18"/>
          <w:szCs w:val="18"/>
        </w:rPr>
        <w:t xml:space="preserve"> </w:t>
      </w:r>
      <w:r w:rsidR="007779BA">
        <w:rPr>
          <w:rFonts w:ascii="Arial" w:hAnsi="Arial" w:cs="Arial"/>
          <w:sz w:val="18"/>
          <w:szCs w:val="18"/>
        </w:rPr>
        <w:tab/>
      </w:r>
      <w:r w:rsidRPr="007779BA">
        <w:rPr>
          <w:rFonts w:ascii="Arial" w:hAnsi="Arial" w:cs="Arial"/>
          <w:spacing w:val="-4"/>
          <w:sz w:val="18"/>
          <w:szCs w:val="18"/>
        </w:rPr>
        <w:t xml:space="preserve">Sont en tous les cas considérés comme pays à risque ceux qui figurent sur la liste du GAFI relative aux pays « high risk » et non coopératifs publiée sous : </w:t>
      </w:r>
      <w:hyperlink r:id="rId1" w:anchor="high-risk" w:history="1">
        <w:r w:rsidRPr="007779BA">
          <w:rPr>
            <w:rStyle w:val="Hyperlink"/>
            <w:rFonts w:ascii="Arial" w:hAnsi="Arial" w:cs="Arial"/>
            <w:spacing w:val="-4"/>
            <w:sz w:val="18"/>
            <w:szCs w:val="18"/>
          </w:rPr>
          <w:t>http://www.fatf-gafi.org/fr/pays/#high-risk</w:t>
        </w:r>
      </w:hyperlink>
      <w:r w:rsidRPr="007779BA">
        <w:rPr>
          <w:rFonts w:ascii="Arial" w:hAnsi="Arial" w:cs="Arial"/>
          <w:spacing w:val="-4"/>
          <w:sz w:val="18"/>
          <w:szCs w:val="18"/>
        </w:rPr>
        <w:t>. Pays supplémentaires par renvoi aux directives internes des intermédiaires financiers.</w:t>
      </w:r>
    </w:p>
  </w:footnote>
  <w:footnote w:id="6">
    <w:p w14:paraId="33ACEDE3" w14:textId="77777777" w:rsidR="00722DE9" w:rsidRPr="007779BA" w:rsidRDefault="00722DE9" w:rsidP="007779BA">
      <w:pPr>
        <w:pStyle w:val="Funotentext"/>
        <w:spacing w:before="120"/>
        <w:jc w:val="both"/>
        <w:rPr>
          <w:rFonts w:ascii="Arial" w:hAnsi="Arial" w:cs="Arial"/>
          <w:sz w:val="18"/>
          <w:szCs w:val="18"/>
        </w:rPr>
      </w:pPr>
      <w:r w:rsidRPr="007779BA">
        <w:rPr>
          <w:rStyle w:val="Funotenzeichen"/>
          <w:rFonts w:ascii="Arial" w:hAnsi="Arial" w:cs="Arial"/>
          <w:sz w:val="18"/>
          <w:szCs w:val="18"/>
        </w:rPr>
        <w:footnoteRef/>
      </w:r>
      <w:r w:rsidRPr="007779BA">
        <w:rPr>
          <w:rFonts w:ascii="Arial" w:hAnsi="Arial" w:cs="Arial"/>
          <w:sz w:val="18"/>
          <w:szCs w:val="18"/>
        </w:rPr>
        <w:t xml:space="preserve"> </w:t>
      </w:r>
      <w:r w:rsidR="007779BA">
        <w:rPr>
          <w:rFonts w:ascii="Arial" w:hAnsi="Arial" w:cs="Arial"/>
          <w:sz w:val="18"/>
          <w:szCs w:val="18"/>
        </w:rPr>
        <w:tab/>
      </w:r>
      <w:r w:rsidRPr="007779BA">
        <w:rPr>
          <w:rFonts w:ascii="Arial" w:hAnsi="Arial" w:cs="Arial"/>
          <w:spacing w:val="-4"/>
          <w:sz w:val="18"/>
          <w:szCs w:val="18"/>
        </w:rPr>
        <w:t xml:space="preserve">Cf. note de bas de page n° 5. </w:t>
      </w:r>
    </w:p>
  </w:footnote>
  <w:footnote w:id="7">
    <w:p w14:paraId="0C2EF2D0" w14:textId="77777777" w:rsidR="00722DE9" w:rsidRPr="00B13872" w:rsidRDefault="00722DE9" w:rsidP="007779BA">
      <w:pPr>
        <w:pStyle w:val="Funotentext"/>
        <w:spacing w:before="120"/>
        <w:ind w:left="709" w:hanging="709"/>
        <w:rPr>
          <w:rFonts w:ascii="Arial" w:hAnsi="Arial" w:cs="Arial"/>
          <w:sz w:val="18"/>
          <w:szCs w:val="18"/>
        </w:rPr>
      </w:pPr>
      <w:r w:rsidRPr="007779BA">
        <w:rPr>
          <w:rStyle w:val="Funotenzeichen"/>
          <w:rFonts w:ascii="Arial" w:hAnsi="Arial" w:cs="Arial"/>
          <w:sz w:val="18"/>
          <w:szCs w:val="18"/>
        </w:rPr>
        <w:footnoteRef/>
      </w:r>
      <w:r w:rsidRPr="007779BA">
        <w:rPr>
          <w:rFonts w:ascii="Arial" w:hAnsi="Arial" w:cs="Arial"/>
          <w:sz w:val="18"/>
          <w:szCs w:val="18"/>
        </w:rPr>
        <w:t xml:space="preserve"> </w:t>
      </w:r>
      <w:r w:rsidR="007779BA">
        <w:rPr>
          <w:rFonts w:ascii="Arial" w:hAnsi="Arial" w:cs="Arial"/>
          <w:sz w:val="18"/>
          <w:szCs w:val="18"/>
        </w:rPr>
        <w:tab/>
      </w:r>
      <w:r w:rsidRPr="007779BA">
        <w:rPr>
          <w:rFonts w:ascii="Arial" w:hAnsi="Arial" w:cs="Arial"/>
          <w:sz w:val="18"/>
          <w:szCs w:val="18"/>
        </w:rPr>
        <w:t>Cf. note de bas de page 5</w:t>
      </w:r>
    </w:p>
  </w:footnote>
  <w:footnote w:id="8">
    <w:p w14:paraId="0025D269" w14:textId="77777777" w:rsidR="00722DE9" w:rsidRPr="00A638D5" w:rsidRDefault="00722DE9" w:rsidP="007779BA">
      <w:pPr>
        <w:pStyle w:val="Funotentext"/>
        <w:spacing w:before="120"/>
        <w:ind w:left="709" w:hanging="709"/>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w:t>
      </w:r>
      <w:r w:rsidR="007779BA">
        <w:rPr>
          <w:rFonts w:ascii="Arial" w:hAnsi="Arial" w:cs="Arial"/>
          <w:sz w:val="18"/>
          <w:szCs w:val="18"/>
        </w:rPr>
        <w:tab/>
      </w:r>
      <w:r>
        <w:rPr>
          <w:rFonts w:ascii="Arial" w:hAnsi="Arial" w:cs="Arial"/>
          <w:sz w:val="18"/>
          <w:szCs w:val="18"/>
        </w:rPr>
        <w:t>Par exemple : commerce des armes, industrie du jeu (casino), commerce de pierres précieuses à l’état brut/commerce de diamants.</w:t>
      </w:r>
    </w:p>
  </w:footnote>
  <w:footnote w:id="9">
    <w:p w14:paraId="4605A624" w14:textId="77777777" w:rsidR="00722DE9" w:rsidRPr="00A638D5" w:rsidRDefault="00722DE9" w:rsidP="007779BA">
      <w:pPr>
        <w:pStyle w:val="Funotentext"/>
        <w:spacing w:before="120"/>
        <w:ind w:left="709" w:hanging="709"/>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w:t>
      </w:r>
      <w:r w:rsidR="007779BA">
        <w:rPr>
          <w:rFonts w:ascii="Arial" w:hAnsi="Arial" w:cs="Arial"/>
          <w:sz w:val="18"/>
          <w:szCs w:val="18"/>
        </w:rPr>
        <w:tab/>
      </w:r>
      <w:r>
        <w:rPr>
          <w:rFonts w:ascii="Arial" w:hAnsi="Arial" w:cs="Arial"/>
          <w:spacing w:val="-4"/>
          <w:sz w:val="18"/>
          <w:szCs w:val="18"/>
        </w:rPr>
        <w:t xml:space="preserve">Cf. note de bas de page n° 5. </w:t>
      </w:r>
    </w:p>
  </w:footnote>
  <w:footnote w:id="10">
    <w:p w14:paraId="61C37C0F" w14:textId="77777777" w:rsidR="00722DE9" w:rsidRPr="00A638D5" w:rsidRDefault="00722DE9" w:rsidP="007779BA">
      <w:pPr>
        <w:pStyle w:val="Funotentext"/>
        <w:spacing w:before="120"/>
        <w:ind w:left="709" w:hanging="709"/>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w:t>
      </w:r>
      <w:r w:rsidR="007779BA">
        <w:rPr>
          <w:rFonts w:ascii="Arial" w:hAnsi="Arial" w:cs="Arial"/>
          <w:sz w:val="18"/>
          <w:szCs w:val="18"/>
        </w:rPr>
        <w:tab/>
      </w:r>
      <w:r>
        <w:rPr>
          <w:rFonts w:ascii="Arial" w:hAnsi="Arial" w:cs="Arial"/>
          <w:spacing w:val="-4"/>
          <w:sz w:val="18"/>
          <w:szCs w:val="18"/>
        </w:rPr>
        <w:t>Par exemple en présence de plusieurs sociétés de domicile ou d’une société de domicile avec des actionnaires fiduciaires, dans une juridiction non transparente, sans motif plausible ou en vue d’un placement de fortune à court terme.</w:t>
      </w:r>
    </w:p>
  </w:footnote>
  <w:footnote w:id="11">
    <w:p w14:paraId="237B3088" w14:textId="77777777" w:rsidR="00300D99" w:rsidRPr="00C335DC" w:rsidRDefault="00300D99" w:rsidP="00C335DC">
      <w:pPr>
        <w:pStyle w:val="Funotentext"/>
        <w:spacing w:before="120"/>
        <w:ind w:left="709" w:hanging="709"/>
        <w:jc w:val="both"/>
        <w:rPr>
          <w:rFonts w:ascii="Arial" w:hAnsi="Arial" w:cs="Arial"/>
          <w:sz w:val="18"/>
          <w:szCs w:val="18"/>
        </w:rPr>
      </w:pPr>
      <w:r w:rsidRPr="00C335DC">
        <w:rPr>
          <w:rStyle w:val="Funotenzeichen"/>
          <w:rFonts w:ascii="Arial" w:hAnsi="Arial" w:cs="Arial"/>
          <w:sz w:val="18"/>
          <w:szCs w:val="18"/>
        </w:rPr>
        <w:footnoteRef/>
      </w:r>
      <w:r w:rsidRPr="00C335DC">
        <w:rPr>
          <w:rFonts w:ascii="Arial" w:hAnsi="Arial" w:cs="Arial"/>
          <w:sz w:val="18"/>
          <w:szCs w:val="18"/>
        </w:rPr>
        <w:t xml:space="preserve"> </w:t>
      </w:r>
      <w:r w:rsidR="00C335DC">
        <w:rPr>
          <w:rFonts w:ascii="Arial" w:hAnsi="Arial" w:cs="Arial"/>
          <w:sz w:val="18"/>
          <w:szCs w:val="18"/>
        </w:rPr>
        <w:tab/>
      </w:r>
      <w:r w:rsidRPr="00C335DC">
        <w:rPr>
          <w:rFonts w:ascii="Arial" w:hAnsi="Arial" w:cs="Arial"/>
          <w:spacing w:val="-4"/>
          <w:sz w:val="18"/>
          <w:szCs w:val="18"/>
        </w:rPr>
        <w:t xml:space="preserve">Cf. note de bas de page n° 5. </w:t>
      </w:r>
    </w:p>
  </w:footnote>
  <w:footnote w:id="12">
    <w:p w14:paraId="48018628" w14:textId="77777777" w:rsidR="00EA46B4" w:rsidRPr="00EA46B4" w:rsidRDefault="00EA46B4" w:rsidP="00C335DC">
      <w:pPr>
        <w:pStyle w:val="Funotentext"/>
        <w:spacing w:before="120"/>
        <w:ind w:left="709" w:hanging="709"/>
      </w:pPr>
      <w:r w:rsidRPr="00C335DC">
        <w:rPr>
          <w:rStyle w:val="Funotenzeichen"/>
          <w:rFonts w:ascii="Arial" w:hAnsi="Arial" w:cs="Arial"/>
          <w:sz w:val="18"/>
          <w:szCs w:val="18"/>
        </w:rPr>
        <w:footnoteRef/>
      </w:r>
      <w:r w:rsidRPr="00C335DC">
        <w:rPr>
          <w:rFonts w:ascii="Arial" w:hAnsi="Arial" w:cs="Arial"/>
          <w:sz w:val="18"/>
          <w:szCs w:val="18"/>
        </w:rPr>
        <w:t xml:space="preserve"> </w:t>
      </w:r>
      <w:r w:rsidR="00C335DC">
        <w:rPr>
          <w:rFonts w:ascii="Arial" w:hAnsi="Arial" w:cs="Arial"/>
          <w:sz w:val="18"/>
          <w:szCs w:val="18"/>
        </w:rPr>
        <w:tab/>
      </w:r>
      <w:r w:rsidRPr="00C335DC">
        <w:rPr>
          <w:rFonts w:ascii="Arial" w:hAnsi="Arial" w:cs="Arial"/>
          <w:spacing w:val="-4"/>
          <w:sz w:val="18"/>
          <w:szCs w:val="18"/>
        </w:rPr>
        <w:t>Cf. note de bas de page n°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290"/>
    </w:tblGrid>
    <w:tr w:rsidR="00787D34" w:rsidRPr="00C30575" w14:paraId="0D7C42D8" w14:textId="77777777">
      <w:tc>
        <w:tcPr>
          <w:tcW w:w="3070" w:type="dxa"/>
        </w:tcPr>
        <w:p w14:paraId="54C9C9E1" w14:textId="77777777" w:rsidR="00787D34" w:rsidRPr="006C6B8B" w:rsidRDefault="00787D34" w:rsidP="00585732">
          <w:pPr>
            <w:pStyle w:val="Kopfzeile"/>
            <w:rPr>
              <w:rFonts w:ascii="Arial" w:hAnsi="Arial"/>
              <w:sz w:val="18"/>
              <w:szCs w:val="18"/>
              <w:lang w:val="en-GB"/>
            </w:rPr>
          </w:pPr>
          <w:r>
            <w:rPr>
              <w:rFonts w:ascii="Arial" w:hAnsi="Arial"/>
              <w:sz w:val="18"/>
              <w:szCs w:val="18"/>
            </w:rPr>
            <w:t>OAR FSA/FSN</w:t>
          </w:r>
        </w:p>
      </w:tc>
      <w:tc>
        <w:tcPr>
          <w:tcW w:w="3070" w:type="dxa"/>
        </w:tcPr>
        <w:p w14:paraId="5C52B226" w14:textId="77777777" w:rsidR="00787D34" w:rsidRPr="00180BB8" w:rsidRDefault="006E07BB" w:rsidP="00585732">
          <w:pPr>
            <w:pStyle w:val="Kopfzeile"/>
            <w:jc w:val="center"/>
            <w:rPr>
              <w:rFonts w:ascii="Arial" w:hAnsi="Arial"/>
              <w:spacing w:val="-8"/>
              <w:sz w:val="18"/>
              <w:szCs w:val="18"/>
            </w:rPr>
          </w:pPr>
          <w:r w:rsidRPr="00180BB8">
            <w:rPr>
              <w:rFonts w:ascii="Arial" w:hAnsi="Arial"/>
              <w:snapToGrid w:val="0"/>
              <w:spacing w:val="-8"/>
              <w:sz w:val="18"/>
              <w:szCs w:val="18"/>
            </w:rPr>
            <w:t>05</w:t>
          </w:r>
          <w:r w:rsidR="00C015C0">
            <w:rPr>
              <w:rFonts w:ascii="Arial" w:hAnsi="Arial"/>
              <w:snapToGrid w:val="0"/>
              <w:spacing w:val="-8"/>
              <w:sz w:val="18"/>
              <w:szCs w:val="18"/>
            </w:rPr>
            <w:t>B</w:t>
          </w:r>
          <w:r w:rsidRPr="00180BB8">
            <w:rPr>
              <w:rFonts w:ascii="Arial" w:hAnsi="Arial"/>
              <w:snapToGrid w:val="0"/>
              <w:spacing w:val="-8"/>
              <w:sz w:val="18"/>
              <w:szCs w:val="18"/>
            </w:rPr>
            <w:t xml:space="preserve"> </w:t>
          </w:r>
          <w:r w:rsidR="0044145B">
            <w:rPr>
              <w:rFonts w:ascii="Arial" w:hAnsi="Arial"/>
              <w:snapToGrid w:val="0"/>
              <w:spacing w:val="-8"/>
              <w:sz w:val="18"/>
              <w:szCs w:val="18"/>
            </w:rPr>
            <w:t>F_</w:t>
          </w:r>
          <w:r w:rsidRPr="00180BB8">
            <w:rPr>
              <w:rFonts w:ascii="Arial" w:hAnsi="Arial"/>
              <w:snapToGrid w:val="0"/>
              <w:spacing w:val="-8"/>
              <w:sz w:val="18"/>
              <w:szCs w:val="18"/>
            </w:rPr>
            <w:t>Classification en fonction du risque</w:t>
          </w:r>
        </w:p>
      </w:tc>
      <w:tc>
        <w:tcPr>
          <w:tcW w:w="3290" w:type="dxa"/>
        </w:tcPr>
        <w:p w14:paraId="6B894DD8" w14:textId="12839482" w:rsidR="00787D34" w:rsidRPr="00C30575" w:rsidRDefault="00ED6B0D" w:rsidP="008E55A6">
          <w:pPr>
            <w:pStyle w:val="Kopfzeile"/>
            <w:jc w:val="right"/>
            <w:rPr>
              <w:rFonts w:ascii="Arial" w:hAnsi="Arial" w:cs="Arial"/>
              <w:sz w:val="18"/>
              <w:szCs w:val="18"/>
              <w:lang w:val="de-CH"/>
            </w:rPr>
          </w:pPr>
          <w:r>
            <w:rPr>
              <w:rFonts w:ascii="Arial" w:hAnsi="Arial" w:cs="Arial"/>
              <w:sz w:val="18"/>
              <w:szCs w:val="18"/>
            </w:rPr>
            <w:t>V.202</w:t>
          </w:r>
          <w:r w:rsidR="00503789">
            <w:rPr>
              <w:rFonts w:ascii="Arial" w:hAnsi="Arial" w:cs="Arial"/>
              <w:sz w:val="18"/>
              <w:szCs w:val="18"/>
            </w:rPr>
            <w:t>4</w:t>
          </w:r>
        </w:p>
      </w:tc>
    </w:tr>
  </w:tbl>
  <w:p w14:paraId="731D172E" w14:textId="77777777" w:rsidR="00787D34" w:rsidRPr="0044145B" w:rsidRDefault="00787D34">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705F"/>
    <w:multiLevelType w:val="hybridMultilevel"/>
    <w:tmpl w:val="71681646"/>
    <w:lvl w:ilvl="0" w:tplc="9872B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290BAB"/>
    <w:multiLevelType w:val="hybridMultilevel"/>
    <w:tmpl w:val="F6D86F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B8A285F"/>
    <w:multiLevelType w:val="hybridMultilevel"/>
    <w:tmpl w:val="34A4E8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F05ACE"/>
    <w:multiLevelType w:val="hybridMultilevel"/>
    <w:tmpl w:val="34A4E882"/>
    <w:lvl w:ilvl="0" w:tplc="0807000F">
      <w:start w:val="1"/>
      <w:numFmt w:val="decimal"/>
      <w:lvlText w:val="%1."/>
      <w:lvlJc w:val="left"/>
      <w:pPr>
        <w:ind w:left="92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D665C21"/>
    <w:multiLevelType w:val="hybridMultilevel"/>
    <w:tmpl w:val="AE6E247A"/>
    <w:lvl w:ilvl="0" w:tplc="00A29ED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4517855"/>
    <w:multiLevelType w:val="hybridMultilevel"/>
    <w:tmpl w:val="32321E92"/>
    <w:lvl w:ilvl="0" w:tplc="00A29ED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C5F6B62"/>
    <w:multiLevelType w:val="hybridMultilevel"/>
    <w:tmpl w:val="FAF06B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12A5027"/>
    <w:multiLevelType w:val="hybridMultilevel"/>
    <w:tmpl w:val="40DC8488"/>
    <w:lvl w:ilvl="0" w:tplc="D31C4F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F35407"/>
    <w:multiLevelType w:val="hybridMultilevel"/>
    <w:tmpl w:val="BA5E2246"/>
    <w:lvl w:ilvl="0" w:tplc="8BB4EC6A">
      <w:start w:val="1"/>
      <w:numFmt w:val="bullet"/>
      <w:lvlText w:val="▪"/>
      <w:lvlJc w:val="left"/>
      <w:pPr>
        <w:tabs>
          <w:tab w:val="num" w:pos="1310"/>
        </w:tabs>
        <w:ind w:left="1310" w:hanging="230"/>
      </w:pPr>
      <w:rPr>
        <w:rFonts w:ascii="Verdana" w:hAnsi="Verdana"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97615661">
    <w:abstractNumId w:val="7"/>
  </w:num>
  <w:num w:numId="2" w16cid:durableId="2049647912">
    <w:abstractNumId w:val="8"/>
  </w:num>
  <w:num w:numId="3" w16cid:durableId="2094475181">
    <w:abstractNumId w:val="5"/>
  </w:num>
  <w:num w:numId="4" w16cid:durableId="1948075551">
    <w:abstractNumId w:val="4"/>
  </w:num>
  <w:num w:numId="5" w16cid:durableId="921527377">
    <w:abstractNumId w:val="1"/>
  </w:num>
  <w:num w:numId="6" w16cid:durableId="76481881">
    <w:abstractNumId w:val="3"/>
  </w:num>
  <w:num w:numId="7" w16cid:durableId="898906461">
    <w:abstractNumId w:val="6"/>
  </w:num>
  <w:num w:numId="8" w16cid:durableId="1849756524">
    <w:abstractNumId w:val="2"/>
  </w:num>
  <w:num w:numId="9" w16cid:durableId="141049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05"/>
    <w:rsid w:val="000064B9"/>
    <w:rsid w:val="00035610"/>
    <w:rsid w:val="00042BA9"/>
    <w:rsid w:val="00046B5F"/>
    <w:rsid w:val="000665BA"/>
    <w:rsid w:val="000723F9"/>
    <w:rsid w:val="000900E6"/>
    <w:rsid w:val="000A17A8"/>
    <w:rsid w:val="000D0FF8"/>
    <w:rsid w:val="000D4204"/>
    <w:rsid w:val="00144230"/>
    <w:rsid w:val="00154426"/>
    <w:rsid w:val="00166997"/>
    <w:rsid w:val="001754FA"/>
    <w:rsid w:val="00180BB8"/>
    <w:rsid w:val="00181F56"/>
    <w:rsid w:val="001B4301"/>
    <w:rsid w:val="001B7D96"/>
    <w:rsid w:val="001C603B"/>
    <w:rsid w:val="001E5EC4"/>
    <w:rsid w:val="001F7238"/>
    <w:rsid w:val="002010FD"/>
    <w:rsid w:val="002046E7"/>
    <w:rsid w:val="00237387"/>
    <w:rsid w:val="0025001E"/>
    <w:rsid w:val="00251158"/>
    <w:rsid w:val="00274D4B"/>
    <w:rsid w:val="00282AA4"/>
    <w:rsid w:val="00284E37"/>
    <w:rsid w:val="0028764E"/>
    <w:rsid w:val="00293ED6"/>
    <w:rsid w:val="002A4290"/>
    <w:rsid w:val="002E208D"/>
    <w:rsid w:val="002F4BA1"/>
    <w:rsid w:val="00300D99"/>
    <w:rsid w:val="003157FE"/>
    <w:rsid w:val="0034253F"/>
    <w:rsid w:val="00343F42"/>
    <w:rsid w:val="00356AA9"/>
    <w:rsid w:val="00380F0C"/>
    <w:rsid w:val="003A15FF"/>
    <w:rsid w:val="003A2ACF"/>
    <w:rsid w:val="003F1CAD"/>
    <w:rsid w:val="00412322"/>
    <w:rsid w:val="00412FE1"/>
    <w:rsid w:val="00415A06"/>
    <w:rsid w:val="0044145B"/>
    <w:rsid w:val="0044327F"/>
    <w:rsid w:val="00446100"/>
    <w:rsid w:val="00460E5F"/>
    <w:rsid w:val="004D0C84"/>
    <w:rsid w:val="00503789"/>
    <w:rsid w:val="00510755"/>
    <w:rsid w:val="00520AA3"/>
    <w:rsid w:val="0053555B"/>
    <w:rsid w:val="00540554"/>
    <w:rsid w:val="00557D35"/>
    <w:rsid w:val="00580FF7"/>
    <w:rsid w:val="00585732"/>
    <w:rsid w:val="005913F8"/>
    <w:rsid w:val="005A1F01"/>
    <w:rsid w:val="005A59D0"/>
    <w:rsid w:val="005C2368"/>
    <w:rsid w:val="005C3A28"/>
    <w:rsid w:val="005D4B45"/>
    <w:rsid w:val="005F2D56"/>
    <w:rsid w:val="00602C54"/>
    <w:rsid w:val="006101AF"/>
    <w:rsid w:val="006135D4"/>
    <w:rsid w:val="00621C49"/>
    <w:rsid w:val="0062743C"/>
    <w:rsid w:val="00630E4F"/>
    <w:rsid w:val="00643A17"/>
    <w:rsid w:val="00644023"/>
    <w:rsid w:val="006615B6"/>
    <w:rsid w:val="00676500"/>
    <w:rsid w:val="00680302"/>
    <w:rsid w:val="006B5015"/>
    <w:rsid w:val="006C14EE"/>
    <w:rsid w:val="006C6B8B"/>
    <w:rsid w:val="006D573F"/>
    <w:rsid w:val="006E07BB"/>
    <w:rsid w:val="006F18E4"/>
    <w:rsid w:val="007212C5"/>
    <w:rsid w:val="00722DE9"/>
    <w:rsid w:val="00726E12"/>
    <w:rsid w:val="00737D45"/>
    <w:rsid w:val="00762857"/>
    <w:rsid w:val="007779BA"/>
    <w:rsid w:val="007816A6"/>
    <w:rsid w:val="00787D34"/>
    <w:rsid w:val="007B583C"/>
    <w:rsid w:val="007C64E4"/>
    <w:rsid w:val="007C76C2"/>
    <w:rsid w:val="007E325F"/>
    <w:rsid w:val="007E6C97"/>
    <w:rsid w:val="007E7BBC"/>
    <w:rsid w:val="007F330E"/>
    <w:rsid w:val="007F656E"/>
    <w:rsid w:val="00817455"/>
    <w:rsid w:val="008A5A6F"/>
    <w:rsid w:val="008B7F5D"/>
    <w:rsid w:val="008C3142"/>
    <w:rsid w:val="008C3782"/>
    <w:rsid w:val="008D57CC"/>
    <w:rsid w:val="008E21D1"/>
    <w:rsid w:val="008E55A6"/>
    <w:rsid w:val="008F66FC"/>
    <w:rsid w:val="00921E0F"/>
    <w:rsid w:val="009315B0"/>
    <w:rsid w:val="009324F0"/>
    <w:rsid w:val="0094080B"/>
    <w:rsid w:val="00954502"/>
    <w:rsid w:val="00960DCF"/>
    <w:rsid w:val="009835A8"/>
    <w:rsid w:val="00992194"/>
    <w:rsid w:val="009930E0"/>
    <w:rsid w:val="00996595"/>
    <w:rsid w:val="009968F6"/>
    <w:rsid w:val="009D324E"/>
    <w:rsid w:val="009E53CD"/>
    <w:rsid w:val="009F6249"/>
    <w:rsid w:val="00A12E85"/>
    <w:rsid w:val="00A34BF8"/>
    <w:rsid w:val="00A4657A"/>
    <w:rsid w:val="00A635B5"/>
    <w:rsid w:val="00A638D5"/>
    <w:rsid w:val="00A81D6E"/>
    <w:rsid w:val="00AC5A54"/>
    <w:rsid w:val="00AE13B6"/>
    <w:rsid w:val="00B11CB6"/>
    <w:rsid w:val="00B13872"/>
    <w:rsid w:val="00B714A0"/>
    <w:rsid w:val="00B71F19"/>
    <w:rsid w:val="00B744C8"/>
    <w:rsid w:val="00B75137"/>
    <w:rsid w:val="00BA1A94"/>
    <w:rsid w:val="00BA3B15"/>
    <w:rsid w:val="00BB5D2C"/>
    <w:rsid w:val="00BC613C"/>
    <w:rsid w:val="00BD6F4A"/>
    <w:rsid w:val="00BF0BC9"/>
    <w:rsid w:val="00BF0CAF"/>
    <w:rsid w:val="00BF0F14"/>
    <w:rsid w:val="00C015C0"/>
    <w:rsid w:val="00C20AD6"/>
    <w:rsid w:val="00C21BCE"/>
    <w:rsid w:val="00C30575"/>
    <w:rsid w:val="00C314CD"/>
    <w:rsid w:val="00C335DC"/>
    <w:rsid w:val="00C352A1"/>
    <w:rsid w:val="00C440DE"/>
    <w:rsid w:val="00C47BD1"/>
    <w:rsid w:val="00C54FFC"/>
    <w:rsid w:val="00C806D0"/>
    <w:rsid w:val="00C869A4"/>
    <w:rsid w:val="00CB500A"/>
    <w:rsid w:val="00CE595E"/>
    <w:rsid w:val="00CF6D93"/>
    <w:rsid w:val="00D05E9C"/>
    <w:rsid w:val="00D16A43"/>
    <w:rsid w:val="00D6460A"/>
    <w:rsid w:val="00D75223"/>
    <w:rsid w:val="00D8092C"/>
    <w:rsid w:val="00D9663B"/>
    <w:rsid w:val="00D96DF9"/>
    <w:rsid w:val="00DB26C9"/>
    <w:rsid w:val="00DE4426"/>
    <w:rsid w:val="00DE557D"/>
    <w:rsid w:val="00DF0D90"/>
    <w:rsid w:val="00E129B3"/>
    <w:rsid w:val="00E3680B"/>
    <w:rsid w:val="00E4146C"/>
    <w:rsid w:val="00E44A1D"/>
    <w:rsid w:val="00E565C2"/>
    <w:rsid w:val="00E74371"/>
    <w:rsid w:val="00EA180E"/>
    <w:rsid w:val="00EA46B4"/>
    <w:rsid w:val="00EC077E"/>
    <w:rsid w:val="00EC693E"/>
    <w:rsid w:val="00ED596C"/>
    <w:rsid w:val="00ED6B0D"/>
    <w:rsid w:val="00EE13D2"/>
    <w:rsid w:val="00F00C05"/>
    <w:rsid w:val="00F43F18"/>
    <w:rsid w:val="00F71FA7"/>
    <w:rsid w:val="00F844B4"/>
    <w:rsid w:val="00F92820"/>
    <w:rsid w:val="00F96BC9"/>
    <w:rsid w:val="00FA2048"/>
    <w:rsid w:val="00FB3865"/>
    <w:rsid w:val="00FB6904"/>
    <w:rsid w:val="00FC493D"/>
    <w:rsid w:val="00FD3590"/>
    <w:rsid w:val="00FD4C39"/>
    <w:rsid w:val="00FF7E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5CB79C"/>
  <w15:chartTrackingRefBased/>
  <w15:docId w15:val="{2A85EC53-4964-4857-898C-7E312205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5732"/>
    <w:rPr>
      <w:sz w:val="24"/>
      <w:szCs w:val="24"/>
    </w:rPr>
  </w:style>
  <w:style w:type="paragraph" w:styleId="berschrift1">
    <w:name w:val="heading 1"/>
    <w:basedOn w:val="Standard"/>
    <w:next w:val="Standard"/>
    <w:qFormat/>
    <w:rsid w:val="009E53CD"/>
    <w:pPr>
      <w:keepNext/>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53CD"/>
    <w:pPr>
      <w:tabs>
        <w:tab w:val="center" w:pos="4536"/>
        <w:tab w:val="right" w:pos="9072"/>
      </w:tabs>
    </w:pPr>
    <w:rPr>
      <w:sz w:val="20"/>
      <w:szCs w:val="20"/>
    </w:rPr>
  </w:style>
  <w:style w:type="paragraph" w:styleId="Fuzeile">
    <w:name w:val="footer"/>
    <w:basedOn w:val="Standard"/>
    <w:link w:val="FuzeileZchn"/>
    <w:uiPriority w:val="99"/>
    <w:rsid w:val="00585732"/>
    <w:pPr>
      <w:tabs>
        <w:tab w:val="center" w:pos="4536"/>
        <w:tab w:val="right" w:pos="9072"/>
      </w:tabs>
    </w:pPr>
  </w:style>
  <w:style w:type="paragraph" w:styleId="Sprechblasentext">
    <w:name w:val="Balloon Text"/>
    <w:basedOn w:val="Standard"/>
    <w:semiHidden/>
    <w:rsid w:val="003A2ACF"/>
    <w:rPr>
      <w:rFonts w:ascii="Tahoma" w:hAnsi="Tahoma" w:cs="Tahoma"/>
      <w:sz w:val="16"/>
      <w:szCs w:val="16"/>
    </w:rPr>
  </w:style>
  <w:style w:type="character" w:styleId="Seitenzahl">
    <w:name w:val="page number"/>
    <w:basedOn w:val="Absatz-Standardschriftart"/>
    <w:rsid w:val="00C30575"/>
    <w:rPr>
      <w:rFonts w:ascii="Times New Roman" w:hAnsi="Times New Roman"/>
    </w:rPr>
  </w:style>
  <w:style w:type="character" w:customStyle="1" w:styleId="FuzeileZchn">
    <w:name w:val="Fußzeile Zchn"/>
    <w:link w:val="Fuzeile"/>
    <w:uiPriority w:val="99"/>
    <w:rsid w:val="006C6B8B"/>
    <w:rPr>
      <w:sz w:val="24"/>
      <w:szCs w:val="24"/>
    </w:rPr>
  </w:style>
  <w:style w:type="paragraph" w:styleId="Funotentext">
    <w:name w:val="footnote text"/>
    <w:basedOn w:val="Standard"/>
    <w:link w:val="FunotentextZchn"/>
    <w:uiPriority w:val="99"/>
    <w:semiHidden/>
    <w:unhideWhenUsed/>
    <w:rsid w:val="00DF0D90"/>
    <w:rPr>
      <w:sz w:val="20"/>
      <w:szCs w:val="20"/>
    </w:rPr>
  </w:style>
  <w:style w:type="character" w:customStyle="1" w:styleId="FunotentextZchn">
    <w:name w:val="Fußnotentext Zchn"/>
    <w:link w:val="Funotentext"/>
    <w:uiPriority w:val="99"/>
    <w:semiHidden/>
    <w:rsid w:val="00DF0D90"/>
  </w:style>
  <w:style w:type="character" w:styleId="Funotenzeichen">
    <w:name w:val="footnote reference"/>
    <w:uiPriority w:val="99"/>
    <w:semiHidden/>
    <w:unhideWhenUsed/>
    <w:rsid w:val="00DF0D90"/>
    <w:rPr>
      <w:vertAlign w:val="superscript"/>
    </w:rPr>
  </w:style>
  <w:style w:type="character" w:styleId="Kommentarzeichen">
    <w:name w:val="annotation reference"/>
    <w:uiPriority w:val="99"/>
    <w:semiHidden/>
    <w:unhideWhenUsed/>
    <w:rsid w:val="00BC613C"/>
    <w:rPr>
      <w:sz w:val="16"/>
      <w:szCs w:val="16"/>
    </w:rPr>
  </w:style>
  <w:style w:type="paragraph" w:styleId="Kommentartext">
    <w:name w:val="annotation text"/>
    <w:basedOn w:val="Standard"/>
    <w:link w:val="KommentartextZchn"/>
    <w:uiPriority w:val="99"/>
    <w:semiHidden/>
    <w:unhideWhenUsed/>
    <w:rsid w:val="00BC613C"/>
    <w:rPr>
      <w:sz w:val="20"/>
      <w:szCs w:val="20"/>
    </w:rPr>
  </w:style>
  <w:style w:type="character" w:customStyle="1" w:styleId="KommentartextZchn">
    <w:name w:val="Kommentartext Zchn"/>
    <w:link w:val="Kommentartext"/>
    <w:uiPriority w:val="99"/>
    <w:semiHidden/>
    <w:rsid w:val="00BC613C"/>
  </w:style>
  <w:style w:type="paragraph" w:styleId="Kommentarthema">
    <w:name w:val="annotation subject"/>
    <w:basedOn w:val="Kommentartext"/>
    <w:next w:val="Kommentartext"/>
    <w:link w:val="KommentarthemaZchn"/>
    <w:uiPriority w:val="99"/>
    <w:semiHidden/>
    <w:unhideWhenUsed/>
    <w:rsid w:val="00BC613C"/>
    <w:rPr>
      <w:b/>
      <w:bCs/>
    </w:rPr>
  </w:style>
  <w:style w:type="character" w:customStyle="1" w:styleId="KommentarthemaZchn">
    <w:name w:val="Kommentarthema Zchn"/>
    <w:link w:val="Kommentarthema"/>
    <w:uiPriority w:val="99"/>
    <w:semiHidden/>
    <w:rsid w:val="00BC613C"/>
    <w:rPr>
      <w:b/>
      <w:bCs/>
    </w:rPr>
  </w:style>
  <w:style w:type="character" w:styleId="Hyperlink">
    <w:name w:val="Hyperlink"/>
    <w:uiPriority w:val="99"/>
    <w:rsid w:val="007B583C"/>
    <w:rPr>
      <w:rFonts w:ascii="Times New Roman" w:hAnsi="Times New Roman" w:cs="Times New Roman"/>
      <w:color w:val="0000FF"/>
      <w:u w:val="single"/>
    </w:rPr>
  </w:style>
  <w:style w:type="paragraph" w:styleId="berarbeitung">
    <w:name w:val="Revision"/>
    <w:hidden/>
    <w:uiPriority w:val="99"/>
    <w:semiHidden/>
    <w:rsid w:val="005D4B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fr/pay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BAFC-52A0-460F-9066-3AC513C1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4713</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Fiche d’évaluation des relations d’affaires et des transactions</vt:lpstr>
      <vt:lpstr>Fiche d’évaluation des relations d’affaires et des transactions</vt:lpstr>
    </vt:vector>
  </TitlesOfParts>
  <Company>Staiger. Schwald &amp; Partner</Company>
  <LinksUpToDate>false</LinksUpToDate>
  <CharactersWithSpaces>5612</CharactersWithSpaces>
  <SharedDoc>false</SharedDoc>
  <HLinks>
    <vt:vector size="6" baseType="variant">
      <vt:variant>
        <vt:i4>7078008</vt:i4>
      </vt:variant>
      <vt:variant>
        <vt:i4>0</vt:i4>
      </vt:variant>
      <vt:variant>
        <vt:i4>0</vt:i4>
      </vt:variant>
      <vt:variant>
        <vt:i4>5</vt:i4>
      </vt:variant>
      <vt:variant>
        <vt:lpwstr>http://www.fatf-gafi.org/countries/</vt:lpwstr>
      </vt:variant>
      <vt:variant>
        <vt:lpwstr>high-risk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d’évaluation des relations d’affaires et des transactions</dc:title>
  <dc:subject/>
  <dc:creator>Roland</dc:creator>
  <cp:keywords/>
  <cp:lastModifiedBy>Merita Nevzadi SRO SAV/SNV</cp:lastModifiedBy>
  <cp:revision>15</cp:revision>
  <cp:lastPrinted>2018-07-18T09:11:00Z</cp:lastPrinted>
  <dcterms:created xsi:type="dcterms:W3CDTF">2023-04-12T13:07:00Z</dcterms:created>
  <dcterms:modified xsi:type="dcterms:W3CDTF">2024-03-18T08:08:00Z</dcterms:modified>
</cp:coreProperties>
</file>